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A619" w14:textId="66447CFA" w:rsidR="004550F3" w:rsidRDefault="004550F3" w:rsidP="00BA5A67">
      <w:pPr>
        <w:jc w:val="center"/>
        <w:rPr>
          <w:b/>
          <w:bCs/>
        </w:rPr>
      </w:pPr>
      <w:r>
        <w:rPr>
          <w:b/>
          <w:bCs/>
          <w:noProof/>
        </w:rPr>
        <w:drawing>
          <wp:inline distT="0" distB="0" distL="0" distR="0" wp14:anchorId="6C7B6B0B" wp14:editId="63B0A623">
            <wp:extent cx="2743200" cy="2743200"/>
            <wp:effectExtent l="0" t="0" r="0" b="0"/>
            <wp:docPr id="1390601007"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01007" name="Picture 1" descr="A black and orang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369843B" w14:textId="77777777" w:rsidR="005D422D" w:rsidRDefault="005D422D" w:rsidP="004550F3">
      <w:pPr>
        <w:spacing w:after="0"/>
        <w:jc w:val="center"/>
        <w:rPr>
          <w:rFonts w:ascii="Montserrat Black" w:hAnsi="Montserrat Black"/>
          <w:b/>
          <w:bCs/>
          <w:color w:val="DA612E"/>
          <w:sz w:val="22"/>
          <w:szCs w:val="22"/>
        </w:rPr>
      </w:pPr>
    </w:p>
    <w:p w14:paraId="32435E1D" w14:textId="5542815C" w:rsidR="00BA5A67" w:rsidRPr="004550F3" w:rsidRDefault="004550F3" w:rsidP="004550F3">
      <w:pPr>
        <w:spacing w:after="0"/>
        <w:jc w:val="center"/>
        <w:rPr>
          <w:rFonts w:ascii="Montserrat Black" w:hAnsi="Montserrat Black"/>
          <w:b/>
          <w:bCs/>
          <w:color w:val="DA612E"/>
          <w:sz w:val="22"/>
          <w:szCs w:val="22"/>
        </w:rPr>
      </w:pPr>
      <w:r w:rsidRPr="004550F3">
        <w:rPr>
          <w:rFonts w:ascii="Montserrat Black" w:hAnsi="Montserrat Black"/>
          <w:b/>
          <w:bCs/>
          <w:color w:val="DA612E"/>
          <w:sz w:val="22"/>
          <w:szCs w:val="22"/>
        </w:rPr>
        <w:t xml:space="preserve">2026 RESEARCH SYMPOSIUM ABSTRACTS | IGNITE DISCOVERY IN THE DESERT </w:t>
      </w:r>
    </w:p>
    <w:p w14:paraId="1EC554DB" w14:textId="34A79999" w:rsidR="00BA5A67" w:rsidRPr="004550F3" w:rsidRDefault="00BA5A67" w:rsidP="00BA5A67">
      <w:pPr>
        <w:jc w:val="center"/>
        <w:rPr>
          <w:rFonts w:ascii="Montserrat SemiBold" w:hAnsi="Montserrat SemiBold"/>
          <w:b/>
          <w:bCs/>
          <w:sz w:val="21"/>
          <w:szCs w:val="21"/>
        </w:rPr>
      </w:pPr>
      <w:r w:rsidRPr="004550F3">
        <w:rPr>
          <w:rFonts w:ascii="Montserrat SemiBold" w:hAnsi="Montserrat SemiBold"/>
          <w:b/>
          <w:bCs/>
          <w:sz w:val="21"/>
          <w:szCs w:val="21"/>
        </w:rPr>
        <w:t>Total Count</w:t>
      </w:r>
      <w:r w:rsidR="002B1E5D" w:rsidRPr="004550F3">
        <w:rPr>
          <w:rFonts w:ascii="Montserrat SemiBold" w:hAnsi="Montserrat SemiBold"/>
          <w:b/>
          <w:bCs/>
          <w:sz w:val="21"/>
          <w:szCs w:val="21"/>
        </w:rPr>
        <w:t>= 2</w:t>
      </w:r>
      <w:r w:rsidR="00BD2C1B" w:rsidRPr="004550F3">
        <w:rPr>
          <w:rFonts w:ascii="Montserrat SemiBold" w:hAnsi="Montserrat SemiBold"/>
          <w:b/>
          <w:bCs/>
          <w:sz w:val="21"/>
          <w:szCs w:val="21"/>
        </w:rPr>
        <w:t>3</w:t>
      </w:r>
      <w:r w:rsidR="002B1E5D" w:rsidRPr="004550F3">
        <w:rPr>
          <w:rFonts w:ascii="Montserrat SemiBold" w:hAnsi="Montserrat SemiBold"/>
          <w:b/>
          <w:bCs/>
          <w:sz w:val="21"/>
          <w:szCs w:val="21"/>
        </w:rPr>
        <w:t xml:space="preserve"> Abstracts</w:t>
      </w:r>
      <w:r w:rsidR="00BD2C1B" w:rsidRPr="004550F3">
        <w:rPr>
          <w:rFonts w:ascii="Montserrat SemiBold" w:hAnsi="Montserrat SemiBold"/>
          <w:b/>
          <w:bCs/>
          <w:sz w:val="21"/>
          <w:szCs w:val="21"/>
        </w:rPr>
        <w:t xml:space="preserve"> (20 live, 3 virtual)</w:t>
      </w:r>
    </w:p>
    <w:p w14:paraId="2135EB0F" w14:textId="1390E05C" w:rsidR="005D22E1" w:rsidRPr="004550F3" w:rsidRDefault="005D22E1" w:rsidP="005D22E1">
      <w:pPr>
        <w:rPr>
          <w:rFonts w:ascii="Montserrat" w:hAnsi="Montserrat"/>
          <w:sz w:val="20"/>
          <w:szCs w:val="20"/>
        </w:rPr>
      </w:pPr>
      <w:proofErr w:type="spellStart"/>
      <w:r w:rsidRPr="004550F3">
        <w:rPr>
          <w:rFonts w:ascii="Montserrat" w:hAnsi="Montserrat"/>
          <w:b/>
          <w:bCs/>
          <w:sz w:val="20"/>
          <w:szCs w:val="20"/>
        </w:rPr>
        <w:t>Abola</w:t>
      </w:r>
      <w:proofErr w:type="spellEnd"/>
      <w:r w:rsidRPr="004550F3">
        <w:rPr>
          <w:rFonts w:ascii="Montserrat" w:hAnsi="Montserrat"/>
          <w:b/>
          <w:bCs/>
          <w:sz w:val="20"/>
          <w:szCs w:val="20"/>
        </w:rPr>
        <w:t xml:space="preserve"> P</w:t>
      </w:r>
      <w:r w:rsidRPr="004550F3">
        <w:rPr>
          <w:rFonts w:ascii="Montserrat" w:hAnsi="Montserrat"/>
          <w:sz w:val="20"/>
          <w:szCs w:val="20"/>
        </w:rPr>
        <w:t xml:space="preserve">, </w:t>
      </w:r>
      <w:proofErr w:type="spellStart"/>
      <w:r w:rsidRPr="004550F3">
        <w:rPr>
          <w:rFonts w:ascii="Montserrat" w:hAnsi="Montserrat"/>
          <w:sz w:val="20"/>
          <w:szCs w:val="20"/>
        </w:rPr>
        <w:t>Smeltere</w:t>
      </w:r>
      <w:proofErr w:type="spellEnd"/>
      <w:r w:rsidRPr="004550F3">
        <w:rPr>
          <w:rFonts w:ascii="Montserrat" w:hAnsi="Montserrat"/>
          <w:sz w:val="20"/>
          <w:szCs w:val="20"/>
        </w:rPr>
        <w:t xml:space="preserve"> L, </w:t>
      </w:r>
      <w:proofErr w:type="spellStart"/>
      <w:r w:rsidRPr="004550F3">
        <w:rPr>
          <w:rFonts w:ascii="Montserrat" w:hAnsi="Montserrat"/>
          <w:sz w:val="20"/>
          <w:szCs w:val="20"/>
        </w:rPr>
        <w:t>Lokominiene</w:t>
      </w:r>
      <w:proofErr w:type="spellEnd"/>
      <w:r w:rsidRPr="004550F3">
        <w:rPr>
          <w:rFonts w:ascii="Montserrat" w:hAnsi="Montserrat"/>
          <w:sz w:val="20"/>
          <w:szCs w:val="20"/>
        </w:rPr>
        <w:t xml:space="preserve"> RK, </w:t>
      </w:r>
      <w:proofErr w:type="spellStart"/>
      <w:r w:rsidRPr="004550F3">
        <w:rPr>
          <w:rFonts w:ascii="Montserrat" w:hAnsi="Montserrat"/>
          <w:sz w:val="20"/>
          <w:szCs w:val="20"/>
        </w:rPr>
        <w:t>Straeten</w:t>
      </w:r>
      <w:proofErr w:type="spellEnd"/>
      <w:r w:rsidRPr="004550F3">
        <w:rPr>
          <w:rFonts w:ascii="Montserrat" w:hAnsi="Montserrat"/>
          <w:sz w:val="20"/>
          <w:szCs w:val="20"/>
        </w:rPr>
        <w:t xml:space="preserve"> G, </w:t>
      </w:r>
      <w:proofErr w:type="spellStart"/>
      <w:r w:rsidRPr="004550F3">
        <w:rPr>
          <w:rFonts w:ascii="Montserrat" w:hAnsi="Montserrat"/>
          <w:sz w:val="20"/>
          <w:szCs w:val="20"/>
        </w:rPr>
        <w:t>Reinfrank</w:t>
      </w:r>
      <w:proofErr w:type="spellEnd"/>
      <w:r w:rsidRPr="004550F3">
        <w:rPr>
          <w:rFonts w:ascii="Montserrat" w:hAnsi="Montserrat"/>
          <w:sz w:val="20"/>
          <w:szCs w:val="20"/>
          <w:vertAlign w:val="superscript"/>
        </w:rPr>
        <w:t xml:space="preserve"> </w:t>
      </w:r>
      <w:r w:rsidRPr="004550F3">
        <w:rPr>
          <w:rFonts w:ascii="Montserrat" w:hAnsi="Montserrat"/>
          <w:sz w:val="20"/>
          <w:szCs w:val="20"/>
        </w:rPr>
        <w:t xml:space="preserve">K, </w:t>
      </w:r>
      <w:proofErr w:type="spellStart"/>
      <w:r w:rsidRPr="004550F3">
        <w:rPr>
          <w:rFonts w:ascii="Montserrat" w:hAnsi="Montserrat"/>
          <w:sz w:val="20"/>
          <w:szCs w:val="20"/>
        </w:rPr>
        <w:t>Sikk</w:t>
      </w:r>
      <w:proofErr w:type="spellEnd"/>
      <w:r w:rsidRPr="004550F3">
        <w:rPr>
          <w:rFonts w:ascii="Montserrat" w:hAnsi="Montserrat"/>
          <w:sz w:val="20"/>
          <w:szCs w:val="20"/>
        </w:rPr>
        <w:t xml:space="preserve"> K, Taba P. Regional Features in the Treatment of Parkinson’s Disease</w:t>
      </w:r>
      <w:r w:rsidRPr="004550F3">
        <w:rPr>
          <w:rFonts w:ascii="Times New Roman" w:hAnsi="Times New Roman" w:cs="Times New Roman"/>
          <w:sz w:val="20"/>
          <w:szCs w:val="20"/>
        </w:rPr>
        <w:t> </w:t>
      </w:r>
      <w:r w:rsidRPr="004550F3">
        <w:rPr>
          <w:rFonts w:ascii="Montserrat" w:hAnsi="Montserrat"/>
          <w:sz w:val="20"/>
          <w:szCs w:val="20"/>
        </w:rPr>
        <w:t>in the Baltic States Compared to Germany, 3</w:t>
      </w:r>
      <w:r w:rsidRPr="004550F3">
        <w:rPr>
          <w:rFonts w:ascii="Montserrat" w:hAnsi="Montserrat"/>
          <w:sz w:val="20"/>
          <w:szCs w:val="20"/>
          <w:vertAlign w:val="superscript"/>
        </w:rPr>
        <w:t>rd</w:t>
      </w:r>
      <w:r w:rsidRPr="004550F3">
        <w:rPr>
          <w:rFonts w:ascii="Montserrat" w:hAnsi="Montserrat"/>
          <w:sz w:val="20"/>
          <w:szCs w:val="20"/>
        </w:rPr>
        <w:t xml:space="preserve"> year PhD</w:t>
      </w:r>
      <w:r w:rsidR="009A3F99" w:rsidRPr="004550F3">
        <w:rPr>
          <w:rFonts w:ascii="Montserrat" w:hAnsi="Montserrat"/>
          <w:sz w:val="20"/>
          <w:szCs w:val="20"/>
        </w:rPr>
        <w:t xml:space="preserve"> </w:t>
      </w:r>
      <w:r w:rsidR="003E2425" w:rsidRPr="004550F3">
        <w:rPr>
          <w:rFonts w:ascii="Montserrat" w:hAnsi="Montserrat"/>
          <w:sz w:val="20"/>
          <w:szCs w:val="20"/>
        </w:rPr>
        <w:t xml:space="preserve">student </w:t>
      </w:r>
      <w:r w:rsidRPr="004550F3">
        <w:rPr>
          <w:rFonts w:ascii="Montserrat" w:hAnsi="Montserrat"/>
          <w:sz w:val="20"/>
          <w:szCs w:val="20"/>
        </w:rPr>
        <w:t xml:space="preserve">Accepted for </w:t>
      </w:r>
      <w:r w:rsidR="00991A38" w:rsidRPr="004550F3">
        <w:rPr>
          <w:rFonts w:ascii="Montserrat" w:hAnsi="Montserrat"/>
          <w:sz w:val="20"/>
          <w:szCs w:val="20"/>
        </w:rPr>
        <w:t>Candidacy</w:t>
      </w:r>
      <w:r w:rsidR="003E2425" w:rsidRPr="004550F3">
        <w:rPr>
          <w:rFonts w:ascii="Montserrat" w:hAnsi="Montserrat"/>
          <w:sz w:val="20"/>
          <w:szCs w:val="20"/>
        </w:rPr>
        <w:t xml:space="preserve">. </w:t>
      </w:r>
      <w:r w:rsidR="0000780C" w:rsidRPr="004550F3">
        <w:rPr>
          <w:rFonts w:ascii="Montserrat" w:hAnsi="Montserrat"/>
          <w:sz w:val="20"/>
          <w:szCs w:val="20"/>
        </w:rPr>
        <w:t>Bavaria, Germany (VIRTUAL)</w:t>
      </w:r>
      <w:r w:rsidRPr="004550F3">
        <w:rPr>
          <w:rFonts w:ascii="Montserrat" w:hAnsi="Montserrat"/>
          <w:sz w:val="20"/>
          <w:szCs w:val="20"/>
        </w:rPr>
        <w:t>.  </w:t>
      </w:r>
    </w:p>
    <w:p w14:paraId="15565FAC" w14:textId="2D471631" w:rsidR="00853436" w:rsidRPr="004550F3" w:rsidRDefault="00853436" w:rsidP="005D22E1">
      <w:pPr>
        <w:rPr>
          <w:rFonts w:ascii="Montserrat" w:hAnsi="Montserrat"/>
          <w:b/>
          <w:bCs/>
          <w:sz w:val="20"/>
          <w:szCs w:val="20"/>
        </w:rPr>
      </w:pPr>
      <w:r w:rsidRPr="004550F3">
        <w:rPr>
          <w:rFonts w:ascii="Montserrat" w:hAnsi="Montserrat"/>
          <w:b/>
          <w:bCs/>
          <w:sz w:val="20"/>
          <w:szCs w:val="20"/>
        </w:rPr>
        <w:t>Background:</w:t>
      </w:r>
      <w:r w:rsidRPr="004550F3">
        <w:rPr>
          <w:rFonts w:ascii="Montserrat" w:hAnsi="Montserrat"/>
          <w:sz w:val="20"/>
          <w:szCs w:val="20"/>
        </w:rPr>
        <w:t xml:space="preserve"> Parkinson’s Disease (PD) is a progressive neurodegenerative disorder that requires continuous support to maintain mobility and quality of life. Access to treatment and reimbursement policies vary across Europe, with substantial differences between Western and Eastern member states.</w:t>
      </w:r>
    </w:p>
    <w:p w14:paraId="5C0FEF09" w14:textId="77777777" w:rsidR="00853436" w:rsidRPr="004550F3" w:rsidRDefault="00853436" w:rsidP="005D22E1">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compare the availability, reimbursement, and accessibility of PD therapies in Latvia, Lithuania, and Estonia relative to Germany.</w:t>
      </w:r>
    </w:p>
    <w:p w14:paraId="4A198815" w14:textId="77777777" w:rsidR="00853436" w:rsidRPr="004550F3" w:rsidRDefault="00853436" w:rsidP="005D22E1">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comparative policy analysis was conducted using national reimbursement databases, formularies, policy documents, and expert input. Germany served as a benchmark due to its comprehensive PD care infrastructure, universal reimbursement, and high density of specialized centers. Analysis covered three domains: pharmacological therapy, device-assisted therapies (DATs), and rehabilitation and supportive care.</w:t>
      </w:r>
    </w:p>
    <w:p w14:paraId="0AB18B8C" w14:textId="77777777" w:rsidR="00853436" w:rsidRPr="004550F3" w:rsidRDefault="00853436" w:rsidP="005D22E1">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Germany demonstrated broad access across all domains, including full reimbursement for modern pharmacological options, reimbursed DATs, and structured multidisciplinary rehabilitation. Estonia and Lithuania provided full reimbursement for standard medications but limited coverage for DATs and inconsistent rehabilitation access. Latvia showed the most constraints, with partial reimbursement for medications, no reimbursed DATs, and minimal supportive care infrastructure.</w:t>
      </w:r>
    </w:p>
    <w:p w14:paraId="5055EF3E" w14:textId="51C4EC7E" w:rsidR="00853436" w:rsidRPr="004550F3" w:rsidRDefault="00853436" w:rsidP="005D22E1">
      <w:pPr>
        <w:rPr>
          <w:rFonts w:ascii="Montserrat" w:hAnsi="Montserrat"/>
          <w:b/>
          <w:bCs/>
          <w:sz w:val="20"/>
          <w:szCs w:val="20"/>
        </w:rPr>
      </w:pPr>
      <w:r w:rsidRPr="004550F3">
        <w:rPr>
          <w:rFonts w:ascii="Montserrat" w:hAnsi="Montserrat"/>
          <w:b/>
          <w:bCs/>
          <w:sz w:val="20"/>
          <w:szCs w:val="20"/>
        </w:rPr>
        <w:t>Conclusion:</w:t>
      </w:r>
      <w:r w:rsidRPr="004550F3">
        <w:rPr>
          <w:rFonts w:ascii="Montserrat" w:hAnsi="Montserrat"/>
          <w:sz w:val="20"/>
          <w:szCs w:val="20"/>
        </w:rPr>
        <w:t xml:space="preserve"> National disparities in healthcare spending (Germany 12.8% of GDP vs. 7.8% in Lithuania, 7.6% in Latvia, and 6.7% in Estonia) contribute to inequities in PD treatment access. Addressing these gaps is critical to promote equitable care, improve patient outcomes, and reduce long-term healthcare costs.</w:t>
      </w:r>
    </w:p>
    <w:p w14:paraId="67D0F6BB" w14:textId="7EABDDBD" w:rsidR="00134650" w:rsidRDefault="00134650" w:rsidP="000A7717">
      <w:pPr>
        <w:tabs>
          <w:tab w:val="left" w:leader="underscore" w:pos="9180"/>
        </w:tabs>
        <w:rPr>
          <w:rFonts w:ascii="Montserrat" w:hAnsi="Montserrat"/>
          <w:color w:val="DA612E"/>
          <w:sz w:val="20"/>
          <w:szCs w:val="20"/>
        </w:rPr>
      </w:pPr>
      <w:r>
        <w:rPr>
          <w:rFonts w:ascii="Montserrat" w:hAnsi="Montserrat"/>
          <w:color w:val="DA612E"/>
          <w:sz w:val="20"/>
          <w:szCs w:val="20"/>
        </w:rPr>
        <w:lastRenderedPageBreak/>
        <w:tab/>
      </w:r>
    </w:p>
    <w:p w14:paraId="0E6F8AE9"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 xml:space="preserve">Abuhl B. </w:t>
      </w:r>
      <w:r w:rsidRPr="004550F3">
        <w:rPr>
          <w:rFonts w:ascii="Montserrat" w:hAnsi="Montserrat"/>
          <w:sz w:val="20"/>
          <w:szCs w:val="20"/>
        </w:rPr>
        <w:t>First-Contact Physical Therapy Compared to Usual Primary Care for Musculoskeletal Disorders: A Systematic Review and Meta-Analysis of Randomized Controlled Trials, 3</w:t>
      </w:r>
      <w:r w:rsidRPr="004550F3">
        <w:rPr>
          <w:rFonts w:ascii="Montserrat" w:hAnsi="Montserrat"/>
          <w:sz w:val="20"/>
          <w:szCs w:val="20"/>
          <w:vertAlign w:val="superscript"/>
        </w:rPr>
        <w:t>rd</w:t>
      </w:r>
      <w:r w:rsidRPr="004550F3">
        <w:rPr>
          <w:rFonts w:ascii="Montserrat" w:hAnsi="Montserrat"/>
          <w:sz w:val="20"/>
          <w:szCs w:val="20"/>
        </w:rPr>
        <w:t xml:space="preserve"> year PhD student Accepted for Candidacy. Doctor of Physical Therapy Faculty, University of Jamestown, Jamestown, ND.</w:t>
      </w:r>
    </w:p>
    <w:p w14:paraId="6830C66A"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A systematic review assessed societal and clinical outcomes of first-contact physical therapists (FCPTs) versus usual primary care (UPC) for musculoskeletal disorders (MSKDs) to inform strategies that enhance the care provided for patients with musculoskeletal disorders (MSKDs).</w:t>
      </w:r>
    </w:p>
    <w:p w14:paraId="3238AC12"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The objective of this study is to compare first-contact physical therapy (FCPT) and usual primary care (UPC) for societal and clinical outcomes of patients with MSKDs.</w:t>
      </w:r>
    </w:p>
    <w:p w14:paraId="432E0708"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This systematic review and meta-analysis followed PRISMA guidelines to identify RCTs comparing first-contact physical therapy (FCPT) to usual primary care (UPC) for musculoskeletal disorders, focusing on societal (imaging, medication, cost) and clinical (pain, disability, </w:t>
      </w:r>
      <w:proofErr w:type="spellStart"/>
      <w:r w:rsidRPr="004550F3">
        <w:rPr>
          <w:rFonts w:ascii="Montserrat" w:hAnsi="Montserrat"/>
          <w:sz w:val="20"/>
          <w:szCs w:val="20"/>
        </w:rPr>
        <w:t>HRQoL</w:t>
      </w:r>
      <w:proofErr w:type="spellEnd"/>
      <w:r w:rsidRPr="004550F3">
        <w:rPr>
          <w:rFonts w:ascii="Montserrat" w:hAnsi="Montserrat"/>
          <w:sz w:val="20"/>
          <w:szCs w:val="20"/>
        </w:rPr>
        <w:t xml:space="preserve">) outcomes. </w:t>
      </w:r>
    </w:p>
    <w:p w14:paraId="57D0853D"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Ten randomized controlled trials were included with a sample size of 2081 patients. Very low to moderate quality of evidence showed patients achieved </w:t>
      </w:r>
      <w:proofErr w:type="gramStart"/>
      <w:r w:rsidRPr="004550F3">
        <w:rPr>
          <w:rFonts w:ascii="Montserrat" w:hAnsi="Montserrat"/>
          <w:sz w:val="20"/>
          <w:szCs w:val="20"/>
        </w:rPr>
        <w:t>similar to</w:t>
      </w:r>
      <w:proofErr w:type="gramEnd"/>
      <w:r w:rsidRPr="004550F3">
        <w:rPr>
          <w:rFonts w:ascii="Montserrat" w:hAnsi="Montserrat"/>
          <w:sz w:val="20"/>
          <w:szCs w:val="20"/>
        </w:rPr>
        <w:t xml:space="preserve"> superior societal and clinical outcomes with FCPT compared to UPC. Lower clinical imaging rates (risk ratio [RR] = 0.55; 95% CI, 0.45-0.68) and prescription medication rates (RR = 0.29; 95% CI, 0.16-0.53) were associated with FCPT. All effects favored FCPT, including a small effect for cost (mean difference = −309.79; 95% CI, −678.69 to 59.12), a medium effect for pain (standardized mean difference [SMD] = −0.75; 95% CI, −1.57 to 0.06), and negligible effects for disability (SMD = −0.15; 95% CI, −0.32 to 0.03) and </w:t>
      </w:r>
      <w:proofErr w:type="spellStart"/>
      <w:r w:rsidRPr="004550F3">
        <w:rPr>
          <w:rFonts w:ascii="Montserrat" w:hAnsi="Montserrat"/>
          <w:sz w:val="20"/>
          <w:szCs w:val="20"/>
        </w:rPr>
        <w:t>HRQoL</w:t>
      </w:r>
      <w:proofErr w:type="spellEnd"/>
      <w:r w:rsidRPr="004550F3">
        <w:rPr>
          <w:rFonts w:ascii="Montserrat" w:hAnsi="Montserrat"/>
          <w:sz w:val="20"/>
          <w:szCs w:val="20"/>
        </w:rPr>
        <w:t xml:space="preserve"> (SMD = −0.03; 95% CI, −0.17 to 0.11).</w:t>
      </w:r>
    </w:p>
    <w:p w14:paraId="75944C00"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Conclusions:</w:t>
      </w:r>
      <w:r w:rsidRPr="004550F3">
        <w:rPr>
          <w:rFonts w:ascii="Montserrat" w:hAnsi="Montserrat"/>
          <w:sz w:val="20"/>
          <w:szCs w:val="20"/>
        </w:rPr>
        <w:t xml:space="preserve"> When compared to UPC, FCPT is likely to reduce clinical imaging rates and may result in a reduction of prescription medication rates. FCPT may result in little to no difference in disability and </w:t>
      </w:r>
      <w:proofErr w:type="spellStart"/>
      <w:r w:rsidRPr="004550F3">
        <w:rPr>
          <w:rFonts w:ascii="Montserrat" w:hAnsi="Montserrat"/>
          <w:sz w:val="20"/>
          <w:szCs w:val="20"/>
        </w:rPr>
        <w:t>HRQoL</w:t>
      </w:r>
      <w:proofErr w:type="spellEnd"/>
      <w:r w:rsidRPr="004550F3">
        <w:rPr>
          <w:rFonts w:ascii="Montserrat" w:hAnsi="Montserrat"/>
          <w:sz w:val="20"/>
          <w:szCs w:val="20"/>
        </w:rPr>
        <w:t>. Evidence is very uncertain about the effect of FCPT on pain and cost. All conclusions can be interpreted for the medium term. Health care organizations treating patients with MSKDs should consider integrating FCPTs to support primary care.</w:t>
      </w:r>
    </w:p>
    <w:p w14:paraId="7F8AE491" w14:textId="553489D8" w:rsidR="00543FEE" w:rsidRDefault="00543FEE" w:rsidP="00543FEE">
      <w:pPr>
        <w:tabs>
          <w:tab w:val="left" w:leader="underscore" w:pos="9180"/>
        </w:tabs>
        <w:rPr>
          <w:rFonts w:ascii="Montserrat" w:hAnsi="Montserrat"/>
          <w:color w:val="DA612E"/>
          <w:sz w:val="20"/>
          <w:szCs w:val="20"/>
        </w:rPr>
      </w:pPr>
      <w:r>
        <w:rPr>
          <w:rFonts w:ascii="Montserrat" w:hAnsi="Montserrat"/>
          <w:color w:val="DA612E"/>
          <w:sz w:val="20"/>
          <w:szCs w:val="20"/>
        </w:rPr>
        <w:tab/>
      </w:r>
    </w:p>
    <w:p w14:paraId="0FD65A22" w14:textId="6B9C5760" w:rsidR="00B41215" w:rsidRPr="004550F3" w:rsidRDefault="000B1AF6" w:rsidP="00B41215">
      <w:pPr>
        <w:rPr>
          <w:rFonts w:ascii="Montserrat" w:hAnsi="Montserrat"/>
          <w:sz w:val="20"/>
          <w:szCs w:val="20"/>
        </w:rPr>
      </w:pPr>
      <w:r w:rsidRPr="004550F3">
        <w:rPr>
          <w:rFonts w:ascii="Montserrat" w:hAnsi="Montserrat"/>
          <w:b/>
          <w:bCs/>
          <w:sz w:val="20"/>
          <w:szCs w:val="20"/>
        </w:rPr>
        <w:t>Ahmed K</w:t>
      </w:r>
      <w:r w:rsidRPr="004550F3">
        <w:rPr>
          <w:rFonts w:ascii="Montserrat" w:hAnsi="Montserrat"/>
          <w:sz w:val="20"/>
          <w:szCs w:val="20"/>
        </w:rPr>
        <w:t xml:space="preserve">. </w:t>
      </w:r>
      <w:r w:rsidR="00B41215" w:rsidRPr="004550F3">
        <w:rPr>
          <w:rFonts w:ascii="Montserrat" w:hAnsi="Montserrat"/>
          <w:sz w:val="20"/>
          <w:szCs w:val="20"/>
        </w:rPr>
        <w:t>The Influence of Age and Exercise Modality on Post-Exercise Lipid Variability. 3</w:t>
      </w:r>
      <w:r w:rsidR="00B41215" w:rsidRPr="004550F3">
        <w:rPr>
          <w:rFonts w:ascii="Montserrat" w:hAnsi="Montserrat"/>
          <w:sz w:val="20"/>
          <w:szCs w:val="20"/>
          <w:vertAlign w:val="superscript"/>
        </w:rPr>
        <w:t>rd</w:t>
      </w:r>
      <w:r w:rsidR="00B41215" w:rsidRPr="004550F3">
        <w:rPr>
          <w:rFonts w:ascii="Montserrat" w:hAnsi="Montserrat"/>
          <w:sz w:val="20"/>
          <w:szCs w:val="20"/>
        </w:rPr>
        <w:t xml:space="preserve"> year PhD </w:t>
      </w:r>
      <w:r w:rsidR="003E2425" w:rsidRPr="004550F3">
        <w:rPr>
          <w:rFonts w:ascii="Montserrat" w:hAnsi="Montserrat"/>
          <w:sz w:val="20"/>
          <w:szCs w:val="20"/>
        </w:rPr>
        <w:t xml:space="preserve">student </w:t>
      </w:r>
      <w:r w:rsidR="00B41215" w:rsidRPr="004550F3">
        <w:rPr>
          <w:rFonts w:ascii="Montserrat" w:hAnsi="Montserrat"/>
          <w:sz w:val="20"/>
          <w:szCs w:val="20"/>
        </w:rPr>
        <w:t xml:space="preserve">Accepted for </w:t>
      </w:r>
      <w:r w:rsidR="00991A38" w:rsidRPr="004550F3">
        <w:rPr>
          <w:rFonts w:ascii="Montserrat" w:hAnsi="Montserrat"/>
          <w:sz w:val="20"/>
          <w:szCs w:val="20"/>
        </w:rPr>
        <w:t>Candidacy</w:t>
      </w:r>
      <w:r w:rsidR="003E2425" w:rsidRPr="004550F3">
        <w:rPr>
          <w:rFonts w:ascii="Montserrat" w:hAnsi="Montserrat"/>
          <w:sz w:val="20"/>
          <w:szCs w:val="20"/>
        </w:rPr>
        <w:t xml:space="preserve">. </w:t>
      </w:r>
      <w:proofErr w:type="spellStart"/>
      <w:r w:rsidR="000652BF" w:rsidRPr="004550F3">
        <w:rPr>
          <w:rFonts w:ascii="Montserrat" w:hAnsi="Montserrat"/>
          <w:sz w:val="20"/>
          <w:szCs w:val="20"/>
        </w:rPr>
        <w:t>Enderling</w:t>
      </w:r>
      <w:proofErr w:type="spellEnd"/>
      <w:r w:rsidR="000652BF" w:rsidRPr="004550F3">
        <w:rPr>
          <w:rFonts w:ascii="Montserrat" w:hAnsi="Montserrat"/>
          <w:sz w:val="20"/>
          <w:szCs w:val="20"/>
        </w:rPr>
        <w:t xml:space="preserve"> Lab, MD Anderson Cancer Center, Houston, TX</w:t>
      </w:r>
      <w:r w:rsidR="00B41215" w:rsidRPr="004550F3">
        <w:rPr>
          <w:rFonts w:ascii="Montserrat" w:hAnsi="Montserrat"/>
          <w:sz w:val="20"/>
          <w:szCs w:val="20"/>
        </w:rPr>
        <w:t>.  </w:t>
      </w:r>
    </w:p>
    <w:p w14:paraId="44886F73" w14:textId="2F10DC3A" w:rsidR="0028602F" w:rsidRPr="004550F3" w:rsidRDefault="0028602F" w:rsidP="0028602F">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While exercise is known to improve lipid profiles, most research focuses on average lipid changes rather than intra-individual variability, which may have independent implications for cardiovascular risk. The factors influencing lipid variability after exercise remain unclear.</w:t>
      </w:r>
    </w:p>
    <w:p w14:paraId="45E64B35" w14:textId="2B816459" w:rsidR="0028602F" w:rsidRPr="004550F3" w:rsidRDefault="0028602F" w:rsidP="0028602F">
      <w:pPr>
        <w:rPr>
          <w:rFonts w:ascii="Montserrat" w:hAnsi="Montserrat"/>
          <w:sz w:val="20"/>
          <w:szCs w:val="20"/>
        </w:rPr>
      </w:pPr>
      <w:r w:rsidRPr="004550F3">
        <w:rPr>
          <w:rFonts w:ascii="Montserrat" w:hAnsi="Montserrat"/>
          <w:b/>
          <w:bCs/>
          <w:sz w:val="20"/>
          <w:szCs w:val="20"/>
        </w:rPr>
        <w:t xml:space="preserve">Objective: </w:t>
      </w:r>
      <w:r w:rsidRPr="004550F3">
        <w:rPr>
          <w:rFonts w:ascii="Montserrat" w:hAnsi="Montserrat"/>
          <w:sz w:val="20"/>
          <w:szCs w:val="20"/>
        </w:rPr>
        <w:t>To investigate how age and exercise modality (aerobic vs. resistance) affect the variability of post-exercise lipid levels, using data from a randomized controlled trial.</w:t>
      </w:r>
    </w:p>
    <w:p w14:paraId="09347A47" w14:textId="02664D84" w:rsidR="0028602F" w:rsidRPr="004550F3" w:rsidRDefault="0028602F" w:rsidP="0028602F">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In this secondary analysis of 34 adults randomized to aerobic (n=18) or resistance (n=16) training, lipid variability was quantified by the coefficient of variation (CV) across seven post-exercise time points for triglycerides, total cholesterol, LDL, and HDL. ANCOVA models </w:t>
      </w:r>
      <w:r w:rsidRPr="004550F3">
        <w:rPr>
          <w:rFonts w:ascii="Montserrat" w:hAnsi="Montserrat"/>
          <w:sz w:val="20"/>
          <w:szCs w:val="20"/>
        </w:rPr>
        <w:lastRenderedPageBreak/>
        <w:t>adjusted for age and baseline BMI tested the influence of exercise modality and age on lipid variability.</w:t>
      </w:r>
    </w:p>
    <w:p w14:paraId="2B604B05" w14:textId="63D3E90E" w:rsidR="0028602F" w:rsidRPr="004550F3" w:rsidRDefault="0028602F" w:rsidP="0028602F">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Exercise modality did not significantly impact lipid variability across all lipoproteins (CV</w:t>
      </w:r>
      <w:r w:rsidRPr="004550F3">
        <w:rPr>
          <w:rFonts w:ascii="Montserrat" w:hAnsi="Montserrat"/>
          <w:sz w:val="20"/>
          <w:szCs w:val="20"/>
          <w:vertAlign w:val="subscript"/>
        </w:rPr>
        <w:t>TG</w:t>
      </w:r>
      <w:r w:rsidRPr="004550F3">
        <w:rPr>
          <w:rFonts w:ascii="Montserrat" w:hAnsi="Montserrat"/>
          <w:sz w:val="20"/>
          <w:szCs w:val="20"/>
        </w:rPr>
        <w:t xml:space="preserve"> p = 0.81; CV</w:t>
      </w:r>
      <w:r w:rsidRPr="004550F3">
        <w:rPr>
          <w:rFonts w:ascii="Montserrat" w:hAnsi="Montserrat"/>
          <w:sz w:val="20"/>
          <w:szCs w:val="20"/>
          <w:vertAlign w:val="subscript"/>
        </w:rPr>
        <w:t>TC</w:t>
      </w:r>
      <w:r w:rsidRPr="004550F3">
        <w:rPr>
          <w:rFonts w:ascii="Montserrat" w:hAnsi="Montserrat"/>
          <w:sz w:val="20"/>
          <w:szCs w:val="20"/>
        </w:rPr>
        <w:t xml:space="preserve"> p = 0.29; CV</w:t>
      </w:r>
      <w:r w:rsidRPr="004550F3">
        <w:rPr>
          <w:rFonts w:ascii="Montserrat" w:hAnsi="Montserrat"/>
          <w:sz w:val="20"/>
          <w:szCs w:val="20"/>
          <w:vertAlign w:val="subscript"/>
        </w:rPr>
        <w:t>LDL</w:t>
      </w:r>
      <w:r w:rsidRPr="004550F3">
        <w:rPr>
          <w:rFonts w:ascii="Montserrat" w:hAnsi="Montserrat"/>
          <w:sz w:val="20"/>
          <w:szCs w:val="20"/>
        </w:rPr>
        <w:t xml:space="preserve"> p = 0.65; CV</w:t>
      </w:r>
      <w:r w:rsidRPr="004550F3">
        <w:rPr>
          <w:rFonts w:ascii="Montserrat" w:hAnsi="Montserrat"/>
          <w:sz w:val="20"/>
          <w:szCs w:val="20"/>
          <w:vertAlign w:val="subscript"/>
        </w:rPr>
        <w:t>HDL</w:t>
      </w:r>
      <w:r w:rsidRPr="004550F3">
        <w:rPr>
          <w:rFonts w:ascii="Montserrat" w:hAnsi="Montserrat"/>
          <w:sz w:val="20"/>
          <w:szCs w:val="20"/>
        </w:rPr>
        <w:t xml:space="preserve"> p = 0.28). Notably, age was a significant predictor of triglyceride variability (F1,30 = 7.06, p = 0.013), with older participants exhibiting greater fluctuations. Baseline BMI showed no significant association.</w:t>
      </w:r>
    </w:p>
    <w:p w14:paraId="4A19CC58" w14:textId="029D30E3" w:rsidR="0028602F" w:rsidRPr="004550F3" w:rsidRDefault="0028602F" w:rsidP="0028602F">
      <w:pPr>
        <w:rPr>
          <w:rFonts w:ascii="Montserrat" w:hAnsi="Montserrat"/>
          <w:sz w:val="20"/>
          <w:szCs w:val="20"/>
        </w:rPr>
      </w:pPr>
      <w:r w:rsidRPr="004550F3">
        <w:rPr>
          <w:rFonts w:ascii="Montserrat" w:hAnsi="Montserrat"/>
          <w:b/>
          <w:bCs/>
          <w:sz w:val="20"/>
          <w:szCs w:val="20"/>
        </w:rPr>
        <w:t>Conclusions</w:t>
      </w:r>
      <w:r w:rsidRPr="004550F3">
        <w:rPr>
          <w:rFonts w:ascii="Montserrat" w:hAnsi="Montserrat"/>
          <w:sz w:val="20"/>
          <w:szCs w:val="20"/>
        </w:rPr>
        <w:t>: These findings reveal that age, rather than exercise modality, drives variability in post-exercise triglyceride levels, underscoring the need to consider age when prescribing exercise for lipid regulation. This novel insight expands understanding of lipid dynamics and may inform personalized cardiovascular risk reduction strategies.</w:t>
      </w:r>
    </w:p>
    <w:p w14:paraId="50D22A3B"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3245368C" w14:textId="726D8544" w:rsidR="00730231" w:rsidRPr="004550F3" w:rsidRDefault="00730231" w:rsidP="00730231">
      <w:pPr>
        <w:rPr>
          <w:rFonts w:ascii="Montserrat" w:hAnsi="Montserrat"/>
          <w:sz w:val="20"/>
          <w:szCs w:val="20"/>
        </w:rPr>
      </w:pPr>
      <w:r w:rsidRPr="004550F3">
        <w:rPr>
          <w:rFonts w:ascii="Montserrat" w:hAnsi="Montserrat"/>
          <w:b/>
          <w:bCs/>
          <w:sz w:val="20"/>
          <w:szCs w:val="20"/>
        </w:rPr>
        <w:t>Anani V.</w:t>
      </w:r>
      <w:r w:rsidRPr="004550F3">
        <w:rPr>
          <w:rFonts w:ascii="Montserrat" w:hAnsi="Montserrat"/>
          <w:sz w:val="20"/>
          <w:szCs w:val="20"/>
        </w:rPr>
        <w:t xml:space="preserve"> Building the Future Research Workforce: A Consortium Approach to Digital, Decentralized, and AI-Enabled Clinical Trials. 1</w:t>
      </w:r>
      <w:r w:rsidRPr="004550F3">
        <w:rPr>
          <w:rFonts w:ascii="Montserrat" w:hAnsi="Montserrat"/>
          <w:sz w:val="20"/>
          <w:szCs w:val="20"/>
          <w:vertAlign w:val="superscript"/>
        </w:rPr>
        <w:t>st</w:t>
      </w:r>
      <w:r w:rsidRPr="004550F3">
        <w:rPr>
          <w:rFonts w:ascii="Montserrat" w:hAnsi="Montserrat"/>
          <w:sz w:val="20"/>
          <w:szCs w:val="20"/>
        </w:rPr>
        <w:t xml:space="preserve"> year PhD student. CDDAI Trials Consortium (Consortium for Digital, Decentralized, and AI-Enabled Clinical Trials), Durham, NC.</w:t>
      </w:r>
    </w:p>
    <w:p w14:paraId="6668A4BC" w14:textId="77777777" w:rsidR="00853436" w:rsidRPr="004550F3" w:rsidRDefault="00640E2C" w:rsidP="00640E2C">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Digital and decentralized clinical trials (DCTs), combined with the increasing integration of artificial intelligence (AI), are transforming clinical research operations. However, their adoption is limited by workforce readiness, regulatory uncertainty, and uneven digital access.</w:t>
      </w:r>
    </w:p>
    <w:p w14:paraId="0CA6DF85" w14:textId="1278F5CC" w:rsidR="00640E2C" w:rsidRPr="004550F3" w:rsidRDefault="00640E2C" w:rsidP="00AB4DF7">
      <w:pPr>
        <w:rPr>
          <w:rFonts w:ascii="Montserrat" w:hAnsi="Montserrat"/>
          <w:sz w:val="20"/>
          <w:szCs w:val="20"/>
        </w:rPr>
      </w:pPr>
      <w:r w:rsidRPr="004550F3">
        <w:rPr>
          <w:rFonts w:ascii="Montserrat" w:hAnsi="Montserrat"/>
          <w:b/>
          <w:bCs/>
          <w:sz w:val="20"/>
          <w:szCs w:val="20"/>
        </w:rPr>
        <w:t>Objective</w:t>
      </w:r>
      <w:r w:rsidR="00AB4DF7" w:rsidRPr="004550F3">
        <w:rPr>
          <w:rFonts w:ascii="Montserrat" w:hAnsi="Montserrat"/>
          <w:b/>
          <w:bCs/>
          <w:sz w:val="20"/>
          <w:szCs w:val="20"/>
        </w:rPr>
        <w:t>s</w:t>
      </w:r>
      <w:r w:rsidRPr="004550F3">
        <w:rPr>
          <w:rFonts w:ascii="Montserrat" w:hAnsi="Montserrat"/>
          <w:b/>
          <w:bCs/>
          <w:sz w:val="20"/>
          <w:szCs w:val="20"/>
        </w:rPr>
        <w:t>:</w:t>
      </w:r>
      <w:r w:rsidR="00AB4DF7" w:rsidRPr="004550F3">
        <w:rPr>
          <w:rFonts w:ascii="Montserrat" w:hAnsi="Montserrat"/>
          <w:sz w:val="20"/>
          <w:szCs w:val="20"/>
        </w:rPr>
        <w:t xml:space="preserve"> (1) Developing a scalable workforce transformation model through mentorship, upskilling, and partnerships with contract research organizations (CROs) and sponsors. (2) Advancing responsible regulatory frameworks for AI-enabled trial oversight.</w:t>
      </w:r>
    </w:p>
    <w:p w14:paraId="78D9B127" w14:textId="62A1CB65" w:rsidR="00640E2C" w:rsidRPr="004550F3" w:rsidRDefault="00640E2C" w:rsidP="00640E2C">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w:t>
      </w:r>
      <w:r w:rsidR="00AB4DF7" w:rsidRPr="004550F3">
        <w:rPr>
          <w:rFonts w:ascii="Montserrat" w:hAnsi="Montserrat"/>
          <w:sz w:val="20"/>
          <w:szCs w:val="20"/>
        </w:rPr>
        <w:t>Using a participatory design and systems-thinking approach, the initiative is structuring pilot working groups that align technical innovation with regulatory and ethical integrity. Early development focuses on two flagship projects: a Digital Trials Workforce Accelerator, and an AI &amp; Regulatory Readiness Working Group which will prototype a regulatory intelligence engine to support adaptive compliance.</w:t>
      </w:r>
    </w:p>
    <w:p w14:paraId="526E1C14" w14:textId="31190478" w:rsidR="00640E2C" w:rsidRPr="004550F3" w:rsidRDefault="00640E2C" w:rsidP="00640E2C">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Early implementation </w:t>
      </w:r>
      <w:r w:rsidR="00AB4DF7" w:rsidRPr="004550F3">
        <w:rPr>
          <w:rFonts w:ascii="Montserrat" w:hAnsi="Montserrat"/>
          <w:sz w:val="20"/>
          <w:szCs w:val="20"/>
        </w:rPr>
        <w:t>is in progress.</w:t>
      </w:r>
    </w:p>
    <w:p w14:paraId="65380F4B" w14:textId="4512E665" w:rsidR="00640E2C" w:rsidRPr="004550F3" w:rsidRDefault="00640E2C" w:rsidP="00640E2C">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w:t>
      </w:r>
      <w:r w:rsidR="00AB4DF7" w:rsidRPr="004550F3">
        <w:rPr>
          <w:rFonts w:ascii="Montserrat" w:hAnsi="Montserrat"/>
          <w:sz w:val="20"/>
          <w:szCs w:val="20"/>
        </w:rPr>
        <w:t>By uniting academia, industry, and community partners, this consortium aims to ensure that emerging technologies enhance human expertise while improving trial access, diversity, and data quality. The work contributes to building an equitable, globally connected, and future-ready research workforce.</w:t>
      </w:r>
    </w:p>
    <w:p w14:paraId="0EF03CE8" w14:textId="5B990865" w:rsidR="00543FEE" w:rsidRDefault="000A7717" w:rsidP="00543FEE">
      <w:pPr>
        <w:tabs>
          <w:tab w:val="left" w:leader="underscore" w:pos="9180"/>
        </w:tabs>
        <w:rPr>
          <w:rFonts w:ascii="Montserrat" w:hAnsi="Montserrat"/>
          <w:color w:val="DA612E"/>
          <w:sz w:val="20"/>
          <w:szCs w:val="20"/>
        </w:rPr>
      </w:pPr>
      <w:r>
        <w:rPr>
          <w:rFonts w:ascii="Montserrat" w:hAnsi="Montserrat"/>
          <w:color w:val="DA612E"/>
          <w:sz w:val="20"/>
          <w:szCs w:val="20"/>
        </w:rPr>
        <w:tab/>
      </w:r>
    </w:p>
    <w:p w14:paraId="114EDC8F" w14:textId="2862BC32" w:rsidR="00543FEE" w:rsidRPr="004550F3" w:rsidRDefault="00543FEE" w:rsidP="00543FEE">
      <w:pPr>
        <w:rPr>
          <w:rFonts w:ascii="Montserrat" w:hAnsi="Montserrat"/>
          <w:sz w:val="20"/>
          <w:szCs w:val="20"/>
        </w:rPr>
      </w:pPr>
      <w:r w:rsidRPr="004550F3">
        <w:rPr>
          <w:rFonts w:ascii="Montserrat" w:hAnsi="Montserrat"/>
          <w:b/>
          <w:bCs/>
          <w:sz w:val="20"/>
          <w:szCs w:val="20"/>
        </w:rPr>
        <w:t>Annan G.</w:t>
      </w:r>
      <w:r w:rsidRPr="004550F3">
        <w:rPr>
          <w:rFonts w:ascii="Montserrat" w:hAnsi="Montserrat"/>
          <w:sz w:val="20"/>
          <w:szCs w:val="20"/>
        </w:rPr>
        <w:t xml:space="preserve"> Survival by Tumor Size and Grade After Endoscopic Therapy vs Surgery for T1bN0M0 Esophageal Adenocarcinoma: SEER 2018–2022. </w:t>
      </w:r>
      <w:proofErr w:type="gramStart"/>
      <w:r w:rsidRPr="004550F3">
        <w:rPr>
          <w:rFonts w:ascii="Montserrat" w:hAnsi="Montserrat"/>
          <w:sz w:val="20"/>
          <w:szCs w:val="20"/>
        </w:rPr>
        <w:t>2</w:t>
      </w:r>
      <w:r w:rsidRPr="004550F3">
        <w:rPr>
          <w:rFonts w:ascii="Montserrat" w:hAnsi="Montserrat"/>
          <w:sz w:val="20"/>
          <w:szCs w:val="20"/>
          <w:vertAlign w:val="superscript"/>
        </w:rPr>
        <w:t>nd</w:t>
      </w:r>
      <w:proofErr w:type="gramEnd"/>
      <w:r w:rsidRPr="004550F3">
        <w:rPr>
          <w:rFonts w:ascii="Montserrat" w:hAnsi="Montserrat"/>
          <w:sz w:val="20"/>
          <w:szCs w:val="20"/>
        </w:rPr>
        <w:t xml:space="preserve"> year PhD student. Senior Manager, Clinical Research at STERIS Endoscopy, Washington, D.C.</w:t>
      </w:r>
    </w:p>
    <w:p w14:paraId="1970240E"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Endoscopic therapy (ET) for T1b esophageal adenocarcinoma (EAC) preserves the esophagus but lacks lymph node evaluation, while surgery allows nodal staging at higher procedural risk. The influence of tumor size and grade on comparative survival between ET and surgery remains uncertain.</w:t>
      </w:r>
    </w:p>
    <w:p w14:paraId="7E23F936" w14:textId="77777777" w:rsidR="00543FEE" w:rsidRPr="004550F3" w:rsidRDefault="00543FEE" w:rsidP="00543FEE">
      <w:pPr>
        <w:rPr>
          <w:rFonts w:ascii="Montserrat" w:hAnsi="Montserrat"/>
          <w:sz w:val="20"/>
          <w:szCs w:val="20"/>
        </w:rPr>
      </w:pPr>
      <w:r w:rsidRPr="004550F3">
        <w:rPr>
          <w:rFonts w:ascii="Montserrat" w:hAnsi="Montserrat"/>
          <w:b/>
          <w:bCs/>
          <w:sz w:val="20"/>
          <w:szCs w:val="20"/>
        </w:rPr>
        <w:lastRenderedPageBreak/>
        <w:t>Objective:</w:t>
      </w:r>
      <w:r w:rsidRPr="004550F3">
        <w:rPr>
          <w:rFonts w:ascii="Montserrat" w:hAnsi="Montserrat"/>
          <w:sz w:val="20"/>
          <w:szCs w:val="20"/>
        </w:rPr>
        <w:t xml:space="preserve"> To evaluate whether tumor size and histologic grade modify overall survival (OS) and cancer-specific survival (CSS) outcomes for ET versus surgery in T1bN0M0 EAC.</w:t>
      </w:r>
    </w:p>
    <w:p w14:paraId="451C7B70"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retrospective cohort study will be conducted using SEER data (2018–2022). Adults with T1bN0M0 EAC who received definitive ET or surgery within 90 days of diagnosis were included. Propensity score overlap weighting adjusted for confounding. Weighted Cox and Fine–Gray models estimated OS and CSS, testing for treatment-by-size and treatment-by-grade interactions (</w:t>
      </w:r>
      <w:r w:rsidRPr="004550F3">
        <w:rPr>
          <w:rFonts w:ascii="Cambria" w:hAnsi="Cambria" w:cs="Cambria"/>
          <w:sz w:val="20"/>
          <w:szCs w:val="20"/>
        </w:rPr>
        <w:t>α</w:t>
      </w:r>
      <w:r w:rsidRPr="004550F3">
        <w:rPr>
          <w:rFonts w:ascii="Montserrat" w:hAnsi="Montserrat"/>
          <w:sz w:val="20"/>
          <w:szCs w:val="20"/>
        </w:rPr>
        <w:t xml:space="preserve">=0.05). Sensitivity </w:t>
      </w:r>
      <w:proofErr w:type="gramStart"/>
      <w:r w:rsidRPr="004550F3">
        <w:rPr>
          <w:rFonts w:ascii="Montserrat" w:hAnsi="Montserrat"/>
          <w:sz w:val="20"/>
          <w:szCs w:val="20"/>
        </w:rPr>
        <w:t>analyses</w:t>
      </w:r>
      <w:proofErr w:type="gramEnd"/>
      <w:r w:rsidRPr="004550F3">
        <w:rPr>
          <w:rFonts w:ascii="Montserrat" w:hAnsi="Montserrat"/>
          <w:sz w:val="20"/>
          <w:szCs w:val="20"/>
        </w:rPr>
        <w:t xml:space="preserve"> addressed treatment coding, staging comparability, and alternative time landmarks.</w:t>
      </w:r>
    </w:p>
    <w:p w14:paraId="70B84409"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Analyses will report hazard ratios, cumulative survival at 3 and 5 years, and risk differences across size and grade strata. Findings will determine whether treatment effects vary by tumor characteristics.</w:t>
      </w:r>
    </w:p>
    <w:p w14:paraId="681710FE" w14:textId="77777777" w:rsidR="00543FEE" w:rsidRPr="00543FEE" w:rsidRDefault="00543FEE" w:rsidP="00543FEE">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This study will provide risk-stratified survival estimates to inform individualized selection between endoscopic and surgical management for patients with T1bN0M0 EAC.</w:t>
      </w:r>
    </w:p>
    <w:p w14:paraId="55B163CF" w14:textId="25A6CB9D" w:rsidR="00543FEE" w:rsidRPr="00543FEE" w:rsidRDefault="00543FEE" w:rsidP="00543FEE">
      <w:pPr>
        <w:tabs>
          <w:tab w:val="left" w:leader="underscore" w:pos="9180"/>
        </w:tabs>
        <w:rPr>
          <w:rFonts w:ascii="Montserrat" w:hAnsi="Montserrat"/>
          <w:color w:val="DA612E"/>
          <w:sz w:val="20"/>
          <w:szCs w:val="20"/>
        </w:rPr>
      </w:pPr>
      <w:r>
        <w:rPr>
          <w:rFonts w:ascii="Montserrat" w:hAnsi="Montserrat"/>
          <w:color w:val="DA612E"/>
          <w:sz w:val="20"/>
          <w:szCs w:val="20"/>
        </w:rPr>
        <w:tab/>
      </w:r>
      <w:r>
        <w:rPr>
          <w:rFonts w:ascii="Montserrat" w:hAnsi="Montserrat"/>
          <w:color w:val="DA612E"/>
          <w:sz w:val="20"/>
          <w:szCs w:val="20"/>
        </w:rPr>
        <w:tab/>
      </w:r>
    </w:p>
    <w:p w14:paraId="315D5152" w14:textId="41A79950" w:rsidR="00543FEE" w:rsidRPr="004550F3" w:rsidRDefault="00543FEE" w:rsidP="00543FEE">
      <w:pPr>
        <w:rPr>
          <w:rFonts w:ascii="Montserrat" w:hAnsi="Montserrat"/>
          <w:sz w:val="20"/>
          <w:szCs w:val="20"/>
        </w:rPr>
      </w:pPr>
      <w:r>
        <w:rPr>
          <w:rFonts w:ascii="Montserrat" w:hAnsi="Montserrat"/>
          <w:b/>
          <w:bCs/>
          <w:sz w:val="20"/>
          <w:szCs w:val="20"/>
        </w:rPr>
        <w:t xml:space="preserve">Casas N. </w:t>
      </w:r>
      <w:r w:rsidRPr="00543FEE">
        <w:rPr>
          <w:rFonts w:ascii="Montserrat" w:hAnsi="Montserrat"/>
          <w:sz w:val="20"/>
          <w:szCs w:val="20"/>
        </w:rPr>
        <w:t>Clinician Confidence and Preparedness in Applying Pharmacogenomics Across Specialties: A Systematic Review</w:t>
      </w:r>
      <w:r>
        <w:rPr>
          <w:rFonts w:ascii="Montserrat" w:hAnsi="Montserrat"/>
          <w:sz w:val="20"/>
          <w:szCs w:val="20"/>
        </w:rPr>
        <w:t>.</w:t>
      </w:r>
    </w:p>
    <w:p w14:paraId="6F1FEB7D" w14:textId="77777777" w:rsidR="00543FEE" w:rsidRPr="00543FEE" w:rsidRDefault="00543FEE" w:rsidP="00543FEE">
      <w:pPr>
        <w:rPr>
          <w:rFonts w:ascii="Montserrat" w:hAnsi="Montserrat"/>
          <w:b/>
          <w:bCs/>
          <w:sz w:val="20"/>
          <w:szCs w:val="20"/>
        </w:rPr>
      </w:pPr>
      <w:r w:rsidRPr="00543FEE">
        <w:rPr>
          <w:rFonts w:ascii="Montserrat" w:hAnsi="Montserrat"/>
          <w:b/>
          <w:bCs/>
          <w:sz w:val="20"/>
          <w:szCs w:val="20"/>
        </w:rPr>
        <w:t xml:space="preserve">Background: </w:t>
      </w:r>
      <w:r w:rsidRPr="00543FEE">
        <w:rPr>
          <w:rFonts w:ascii="Montserrat" w:hAnsi="Montserrat"/>
          <w:sz w:val="20"/>
          <w:szCs w:val="20"/>
        </w:rPr>
        <w:t>Pharmacogenomics (PGx) holds promise to reduce adverse drug reactions and optimize therapeutic outcomes. Yet, clinical implementation remains limited.</w:t>
      </w:r>
    </w:p>
    <w:p w14:paraId="369A033C" w14:textId="77777777" w:rsidR="00543FEE" w:rsidRPr="00543FEE" w:rsidRDefault="00543FEE" w:rsidP="00543FEE">
      <w:pPr>
        <w:rPr>
          <w:rFonts w:ascii="Montserrat" w:hAnsi="Montserrat"/>
          <w:b/>
          <w:bCs/>
          <w:sz w:val="20"/>
          <w:szCs w:val="20"/>
        </w:rPr>
      </w:pPr>
      <w:r w:rsidRPr="00543FEE">
        <w:rPr>
          <w:rFonts w:ascii="Montserrat" w:hAnsi="Montserrat"/>
          <w:b/>
          <w:bCs/>
          <w:sz w:val="20"/>
          <w:szCs w:val="20"/>
        </w:rPr>
        <w:t xml:space="preserve">Objective: </w:t>
      </w:r>
      <w:r w:rsidRPr="00543FEE">
        <w:rPr>
          <w:rFonts w:ascii="Montserrat" w:hAnsi="Montserrat"/>
          <w:sz w:val="20"/>
          <w:szCs w:val="20"/>
        </w:rPr>
        <w:t>To explore clinician confidence and preparedness in implementing PGx in practice.</w:t>
      </w:r>
    </w:p>
    <w:p w14:paraId="4D7AF322" w14:textId="77777777" w:rsidR="00543FEE" w:rsidRPr="00543FEE" w:rsidRDefault="00543FEE" w:rsidP="00543FEE">
      <w:pPr>
        <w:rPr>
          <w:rFonts w:ascii="Montserrat" w:hAnsi="Montserrat"/>
          <w:b/>
          <w:bCs/>
          <w:sz w:val="20"/>
          <w:szCs w:val="20"/>
        </w:rPr>
      </w:pPr>
      <w:r w:rsidRPr="00543FEE">
        <w:rPr>
          <w:rFonts w:ascii="Montserrat" w:hAnsi="Montserrat"/>
          <w:b/>
          <w:bCs/>
          <w:sz w:val="20"/>
          <w:szCs w:val="20"/>
        </w:rPr>
        <w:t xml:space="preserve">Methods: </w:t>
      </w:r>
      <w:r w:rsidRPr="00543FEE">
        <w:rPr>
          <w:rFonts w:ascii="Montserrat" w:hAnsi="Montserrat"/>
          <w:sz w:val="20"/>
          <w:szCs w:val="20"/>
        </w:rPr>
        <w:t>A systematic search of PubMed and CINAHL was conducted for studies published between 2015 and 2024. Methodological quality was appraised using the Joanna Briggs Institute (JBI) Critical Appraisal Checklist.</w:t>
      </w:r>
    </w:p>
    <w:p w14:paraId="00CE2D22" w14:textId="77777777" w:rsidR="00543FEE" w:rsidRPr="00543FEE" w:rsidRDefault="00543FEE" w:rsidP="00543FEE">
      <w:pPr>
        <w:rPr>
          <w:rFonts w:ascii="Montserrat" w:hAnsi="Montserrat"/>
          <w:b/>
          <w:bCs/>
          <w:sz w:val="20"/>
          <w:szCs w:val="20"/>
        </w:rPr>
      </w:pPr>
      <w:r w:rsidRPr="00543FEE">
        <w:rPr>
          <w:rFonts w:ascii="Montserrat" w:hAnsi="Montserrat"/>
          <w:b/>
          <w:bCs/>
          <w:sz w:val="20"/>
          <w:szCs w:val="20"/>
        </w:rPr>
        <w:t xml:space="preserve">Results: </w:t>
      </w:r>
      <w:r w:rsidRPr="00543FEE">
        <w:rPr>
          <w:rFonts w:ascii="Montserrat" w:hAnsi="Montserrat"/>
          <w:sz w:val="20"/>
          <w:szCs w:val="20"/>
        </w:rPr>
        <w:t>Eleven studies met inclusion criteria, encompassing various specialties and provider types. Clinician confidence and preparedness were generally low, particularly among general practitioners and psychiatrists. Pharmacists and oncology nurses reported higher levels, especially when supported by specialty-specific training. Across studies, clinicians expressed a preference for interactive, specialty-aligned education formats.</w:t>
      </w:r>
    </w:p>
    <w:p w14:paraId="0E9F75AD" w14:textId="07FC3483" w:rsidR="00543FEE" w:rsidRPr="00543FEE" w:rsidRDefault="00543FEE" w:rsidP="00543FEE">
      <w:pPr>
        <w:rPr>
          <w:rFonts w:ascii="Montserrat" w:hAnsi="Montserrat"/>
          <w:sz w:val="20"/>
          <w:szCs w:val="20"/>
        </w:rPr>
      </w:pPr>
      <w:r w:rsidRPr="00543FEE">
        <w:rPr>
          <w:rFonts w:ascii="Montserrat" w:hAnsi="Montserrat"/>
          <w:b/>
          <w:bCs/>
          <w:sz w:val="20"/>
          <w:szCs w:val="20"/>
        </w:rPr>
        <w:t xml:space="preserve">Conclusion: </w:t>
      </w:r>
      <w:r w:rsidRPr="00543FEE">
        <w:rPr>
          <w:rFonts w:ascii="Montserrat" w:hAnsi="Montserrat"/>
          <w:sz w:val="20"/>
          <w:szCs w:val="20"/>
        </w:rPr>
        <w:t>Clinician confidence and preparedness in applying PGx remains insufficient across specialties, particularly in the absence of structured education and institutional support. Targeted educational interventions, integrated CDSS tools, and supportive policies are critical to advancing PGx adoption to optimize its impact on clinical practice. These findings emphasize the need for coordinated efforts to build implementation capacity across the healthcare workforce.</w:t>
      </w:r>
    </w:p>
    <w:p w14:paraId="39C4FC22"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5B8D4767" w14:textId="22C23B9E" w:rsidR="0022235C" w:rsidRPr="004550F3" w:rsidRDefault="0022235C" w:rsidP="009A3F99">
      <w:pPr>
        <w:rPr>
          <w:rFonts w:ascii="Montserrat" w:hAnsi="Montserrat"/>
          <w:sz w:val="20"/>
          <w:szCs w:val="20"/>
        </w:rPr>
      </w:pPr>
      <w:r w:rsidRPr="004550F3">
        <w:rPr>
          <w:rFonts w:ascii="Montserrat" w:hAnsi="Montserrat"/>
          <w:b/>
          <w:bCs/>
          <w:sz w:val="20"/>
          <w:szCs w:val="20"/>
        </w:rPr>
        <w:t xml:space="preserve">Chand A. </w:t>
      </w:r>
      <w:r w:rsidRPr="004550F3">
        <w:rPr>
          <w:rFonts w:ascii="Montserrat" w:hAnsi="Montserrat"/>
          <w:sz w:val="20"/>
          <w:szCs w:val="20"/>
        </w:rPr>
        <w:t>COVID-19 Mortality Rate in Population based on Age, Ethnicity and Geographical Location within the United Stated between 2020 to</w:t>
      </w:r>
      <w:r w:rsidR="00706A5F" w:rsidRPr="004550F3">
        <w:rPr>
          <w:rFonts w:ascii="Montserrat" w:hAnsi="Montserrat"/>
          <w:sz w:val="20"/>
          <w:szCs w:val="20"/>
        </w:rPr>
        <w:t xml:space="preserve"> </w:t>
      </w:r>
      <w:r w:rsidRPr="004550F3">
        <w:rPr>
          <w:rFonts w:ascii="Montserrat" w:hAnsi="Montserrat"/>
          <w:sz w:val="20"/>
          <w:szCs w:val="20"/>
        </w:rPr>
        <w:t>2024, and the Impact of Health Policies. 3</w:t>
      </w:r>
      <w:r w:rsidRPr="004550F3">
        <w:rPr>
          <w:rFonts w:ascii="Montserrat" w:hAnsi="Montserrat"/>
          <w:sz w:val="20"/>
          <w:szCs w:val="20"/>
          <w:vertAlign w:val="superscript"/>
        </w:rPr>
        <w:t>rd</w:t>
      </w:r>
      <w:r w:rsidRPr="004550F3">
        <w:rPr>
          <w:rFonts w:ascii="Montserrat" w:hAnsi="Montserrat"/>
          <w:sz w:val="20"/>
          <w:szCs w:val="20"/>
        </w:rPr>
        <w:t xml:space="preserve"> year PhD student Accepted for </w:t>
      </w:r>
      <w:r w:rsidR="00991A38" w:rsidRPr="004550F3">
        <w:rPr>
          <w:rFonts w:ascii="Montserrat" w:hAnsi="Montserrat"/>
          <w:sz w:val="20"/>
          <w:szCs w:val="20"/>
        </w:rPr>
        <w:t>Candidacy</w:t>
      </w:r>
      <w:r w:rsidR="003E2425" w:rsidRPr="004550F3">
        <w:rPr>
          <w:rFonts w:ascii="Montserrat" w:hAnsi="Montserrat"/>
          <w:sz w:val="20"/>
          <w:szCs w:val="20"/>
        </w:rPr>
        <w:t xml:space="preserve">. </w:t>
      </w:r>
      <w:r w:rsidR="004E2D75" w:rsidRPr="004550F3">
        <w:rPr>
          <w:rFonts w:ascii="Montserrat" w:hAnsi="Montserrat"/>
          <w:sz w:val="20"/>
          <w:szCs w:val="20"/>
        </w:rPr>
        <w:t>Clinical Quality Control and Quality Assurance Manager</w:t>
      </w:r>
      <w:r w:rsidR="00002A5A" w:rsidRPr="004550F3">
        <w:rPr>
          <w:rFonts w:ascii="Montserrat" w:hAnsi="Montserrat"/>
          <w:sz w:val="20"/>
          <w:szCs w:val="20"/>
        </w:rPr>
        <w:t xml:space="preserve">, Full Time PhD Student. </w:t>
      </w:r>
    </w:p>
    <w:p w14:paraId="6C0FF386" w14:textId="77777777" w:rsidR="00DD6935" w:rsidRPr="004550F3" w:rsidRDefault="00DD6935" w:rsidP="00DD6935">
      <w:pPr>
        <w:rPr>
          <w:rFonts w:ascii="Montserrat" w:hAnsi="Montserrat"/>
          <w:sz w:val="20"/>
          <w:szCs w:val="20"/>
        </w:rPr>
      </w:pPr>
      <w:r w:rsidRPr="004550F3">
        <w:rPr>
          <w:rFonts w:ascii="Montserrat" w:hAnsi="Montserrat"/>
          <w:b/>
          <w:bCs/>
          <w:sz w:val="20"/>
          <w:szCs w:val="20"/>
        </w:rPr>
        <w:lastRenderedPageBreak/>
        <w:t>Background:</w:t>
      </w:r>
      <w:r w:rsidRPr="004550F3">
        <w:rPr>
          <w:rFonts w:ascii="Montserrat" w:hAnsi="Montserrat"/>
          <w:sz w:val="20"/>
          <w:szCs w:val="20"/>
        </w:rPr>
        <w:t xml:space="preserve"> Between 2020 and 2024, successive COVID-19 waves in the United States were driven by emerging variants and shaped by varying public health responses. Despite extensive research, few studies have examined how structural interventions, such as vaccine mandates, influenced mortality disparities over time.</w:t>
      </w:r>
    </w:p>
    <w:p w14:paraId="3AFE48B3" w14:textId="77777777" w:rsidR="00DD6935" w:rsidRPr="004550F3" w:rsidRDefault="00DD6935" w:rsidP="00DD6935">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evaluate temporal and demographic patterns in COVID-19 mortality across age, race/ethnicity, and geography, and to assess the impact of vaccine mandates and related policies on these disparities.</w:t>
      </w:r>
    </w:p>
    <w:p w14:paraId="4837DFF5" w14:textId="77777777" w:rsidR="00DD6935" w:rsidRPr="004550F3" w:rsidRDefault="00DD6935" w:rsidP="00DD6935">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population-based, retrospective observational cohort design was applied to national mortality data from 2020–2024. Analyses integrated descriptive statistics, multivariable regression, and interrupted time series modeling to examine trends and policy effects. Mortality rates were stratified by demographic and regional factors, with adjustment for socioeconomic and health-related confounders.</w:t>
      </w:r>
    </w:p>
    <w:p w14:paraId="2297872F" w14:textId="77777777" w:rsidR="00DD6935" w:rsidRPr="004550F3" w:rsidRDefault="00DD6935" w:rsidP="00DD6935">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Preliminary analyses indicate persistent disparities in COVID-19 mortality, with higher rates among older adults, minority populations, and specific geographic regions. Implementation of vaccine mandates was associated with reductions in mortality rates, though the magnitude and persistence of effects varied across subgroups.</w:t>
      </w:r>
    </w:p>
    <w:p w14:paraId="2A29CD00" w14:textId="77777777" w:rsidR="00DD6935" w:rsidRPr="004550F3" w:rsidRDefault="00DD6935" w:rsidP="00DD6935">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COVID-19 mortality disparities remain substantial despite broad public health measures. Temporal analysis suggests that vaccine mandates contributed to improved outcomes, though inequities persist. Continued monitoring and targeted interventions are essential to inform equitable public health policy and future pandemic preparedness.</w:t>
      </w:r>
    </w:p>
    <w:p w14:paraId="4984A88D" w14:textId="77777777" w:rsidR="002A56D3" w:rsidRPr="004550F3" w:rsidRDefault="002A56D3" w:rsidP="002A56D3">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The Section 174 Fix represents meaningful policy progress but remains insufficient for sustaining U.S. leadership in early-phase clinical research.</w:t>
      </w:r>
    </w:p>
    <w:p w14:paraId="2A351D79"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41CBF5BE" w14:textId="0B10566D" w:rsidR="009A3F99" w:rsidRPr="004550F3" w:rsidRDefault="00FF66A5" w:rsidP="00E63AEB">
      <w:pPr>
        <w:rPr>
          <w:rFonts w:ascii="Montserrat" w:hAnsi="Montserrat"/>
          <w:sz w:val="20"/>
          <w:szCs w:val="20"/>
        </w:rPr>
      </w:pPr>
      <w:r w:rsidRPr="004550F3">
        <w:rPr>
          <w:rFonts w:ascii="Montserrat" w:hAnsi="Montserrat"/>
          <w:b/>
          <w:bCs/>
          <w:sz w:val="20"/>
          <w:szCs w:val="20"/>
        </w:rPr>
        <w:t>Chase A.</w:t>
      </w:r>
      <w:r w:rsidRPr="004550F3">
        <w:rPr>
          <w:rFonts w:ascii="Montserrat" w:hAnsi="Montserrat"/>
          <w:sz w:val="20"/>
          <w:szCs w:val="20"/>
        </w:rPr>
        <w:t xml:space="preserve"> Understanding FDA Rejections: Deficiency Patterns in Complete Response Letters for New Drug Applications and Biologics License Applications. 1</w:t>
      </w:r>
      <w:r w:rsidRPr="004550F3">
        <w:rPr>
          <w:rFonts w:ascii="Montserrat" w:hAnsi="Montserrat"/>
          <w:sz w:val="20"/>
          <w:szCs w:val="20"/>
          <w:vertAlign w:val="superscript"/>
        </w:rPr>
        <w:t>st</w:t>
      </w:r>
      <w:r w:rsidRPr="004550F3">
        <w:rPr>
          <w:rFonts w:ascii="Montserrat" w:hAnsi="Montserrat"/>
          <w:sz w:val="20"/>
          <w:szCs w:val="20"/>
        </w:rPr>
        <w:t xml:space="preserve"> Year PhD student. </w:t>
      </w:r>
      <w:r w:rsidR="00E63AEB" w:rsidRPr="004550F3">
        <w:rPr>
          <w:rFonts w:ascii="Montserrat" w:hAnsi="Montserrat"/>
          <w:b/>
          <w:bCs/>
          <w:sz w:val="20"/>
          <w:szCs w:val="20"/>
        </w:rPr>
        <w:br/>
      </w:r>
      <w:r w:rsidR="00E63AEB" w:rsidRPr="004550F3">
        <w:rPr>
          <w:rFonts w:ascii="Montserrat" w:hAnsi="Montserrat"/>
          <w:sz w:val="20"/>
          <w:szCs w:val="20"/>
        </w:rPr>
        <w:t xml:space="preserve">Director, Project Management, ICON plc, </w:t>
      </w:r>
      <w:r w:rsidR="001D6B44" w:rsidRPr="004550F3">
        <w:rPr>
          <w:rFonts w:ascii="Montserrat" w:hAnsi="Montserrat"/>
          <w:sz w:val="20"/>
          <w:szCs w:val="20"/>
        </w:rPr>
        <w:t xml:space="preserve">Dublin, IR. </w:t>
      </w:r>
    </w:p>
    <w:p w14:paraId="51627AD6" w14:textId="77777777" w:rsidR="003369F1" w:rsidRDefault="00BA58A8" w:rsidP="00E63AEB">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In September 2025, the FDA publicly released complete response letters (CRLs) for the first time, spanning New Drug Applications (NDAs) and Biologics License Applications (BLAs) submitted between 2002 and 2025.</w:t>
      </w:r>
    </w:p>
    <w:p w14:paraId="592FCCBC" w14:textId="77777777" w:rsidR="003369F1" w:rsidRDefault="00BA58A8" w:rsidP="00E63AEB">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To identify the most common deficiency categories in FDA CRLs and compare trends between NDAs and BLAs.</w:t>
      </w:r>
    </w:p>
    <w:p w14:paraId="1314B4FF" w14:textId="26446FB8" w:rsidR="003369F1" w:rsidRDefault="00BA58A8" w:rsidP="00E63AEB">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Artificial intelligence was used to categorize CRLs by deficiency type—clinical efficacy, clinical safety, statistical, CMC/quality, nonclinical/PK, regulatory/labeling/REMS, inspections, administrative, and other—followed by manual validation and frequency analysis. Ongoing work will assess statistical differences between application types.</w:t>
      </w:r>
    </w:p>
    <w:p w14:paraId="5947C85E" w14:textId="77777777" w:rsidR="006E0925" w:rsidRDefault="00BA58A8" w:rsidP="00E63AEB">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To date, 240 CRLs for approved NDAs, 58 for unapproved NDAs, 55 for approved BLAs, and 30 for unapproved BLAs have been analyzed. Major deficiencies in unapproved BLAs were most often related to clinical safety and regulatory/labeling/REMS. Preliminary trends suggest NDAs may show more efficacy-related deficiencies.</w:t>
      </w:r>
    </w:p>
    <w:p w14:paraId="6F400012" w14:textId="31DEB25D" w:rsidR="00BA58A8" w:rsidRDefault="00BA58A8" w:rsidP="00E63AEB">
      <w:pPr>
        <w:rPr>
          <w:rFonts w:ascii="Montserrat" w:hAnsi="Montserrat"/>
          <w:sz w:val="20"/>
          <w:szCs w:val="20"/>
        </w:rPr>
      </w:pPr>
      <w:r w:rsidRPr="004550F3">
        <w:rPr>
          <w:rFonts w:ascii="Montserrat" w:hAnsi="Montserrat"/>
          <w:b/>
          <w:bCs/>
          <w:sz w:val="20"/>
          <w:szCs w:val="20"/>
        </w:rPr>
        <w:lastRenderedPageBreak/>
        <w:t>Conclusion:</w:t>
      </w:r>
      <w:r w:rsidRPr="004550F3">
        <w:rPr>
          <w:rFonts w:ascii="Montserrat" w:hAnsi="Montserrat"/>
          <w:sz w:val="20"/>
          <w:szCs w:val="20"/>
        </w:rPr>
        <w:t xml:space="preserve"> Public access to CRLs enables unprecedented insight into FDA decision-making. Understanding deficiency patterns may help sponsors address issues earlier in development, improving efficiency in drug approval processes.</w:t>
      </w:r>
    </w:p>
    <w:p w14:paraId="6742813F" w14:textId="77777777" w:rsidR="00543FEE" w:rsidRDefault="00543FEE" w:rsidP="00543FEE">
      <w:pPr>
        <w:tabs>
          <w:tab w:val="left" w:leader="underscore" w:pos="9180"/>
        </w:tabs>
        <w:rPr>
          <w:rFonts w:ascii="Montserrat" w:hAnsi="Montserrat"/>
          <w:color w:val="DA612E"/>
          <w:sz w:val="20"/>
          <w:szCs w:val="20"/>
        </w:rPr>
      </w:pPr>
      <w:r>
        <w:rPr>
          <w:rFonts w:ascii="Montserrat" w:hAnsi="Montserrat"/>
          <w:color w:val="DA612E"/>
          <w:sz w:val="20"/>
          <w:szCs w:val="20"/>
        </w:rPr>
        <w:tab/>
      </w:r>
    </w:p>
    <w:p w14:paraId="7D6535A9"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Dehn C</w:t>
      </w:r>
      <w:r w:rsidRPr="004550F3">
        <w:rPr>
          <w:rFonts w:ascii="Montserrat" w:hAnsi="Montserrat"/>
          <w:sz w:val="20"/>
          <w:szCs w:val="20"/>
        </w:rPr>
        <w:t xml:space="preserve">. Section 174 Fix: Tax Policy Progress, but Gaps Remain for Pre-Revenue Biomedical Firms. </w:t>
      </w:r>
      <w:proofErr w:type="gramStart"/>
      <w:r w:rsidRPr="004550F3">
        <w:rPr>
          <w:rFonts w:ascii="Montserrat" w:hAnsi="Montserrat"/>
          <w:sz w:val="20"/>
          <w:szCs w:val="20"/>
        </w:rPr>
        <w:t>2</w:t>
      </w:r>
      <w:r w:rsidRPr="004550F3">
        <w:rPr>
          <w:rFonts w:ascii="Montserrat" w:hAnsi="Montserrat"/>
          <w:sz w:val="20"/>
          <w:szCs w:val="20"/>
          <w:vertAlign w:val="superscript"/>
        </w:rPr>
        <w:t>nd</w:t>
      </w:r>
      <w:proofErr w:type="gramEnd"/>
      <w:r w:rsidRPr="004550F3">
        <w:rPr>
          <w:rFonts w:ascii="Montserrat" w:hAnsi="Montserrat"/>
          <w:sz w:val="20"/>
          <w:szCs w:val="20"/>
        </w:rPr>
        <w:t xml:space="preserve"> year PhD student. Chief Scientific Officer, Evolution Research Group, Columbus, OH.</w:t>
      </w:r>
    </w:p>
    <w:p w14:paraId="2EC88430"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Early-phase clinical research underpins U.S. competitiveness and patient access to innovation. In 2025, </w:t>
      </w:r>
      <w:proofErr w:type="gramStart"/>
      <w:r w:rsidRPr="004550F3">
        <w:rPr>
          <w:rFonts w:ascii="Montserrat" w:hAnsi="Montserrat"/>
          <w:sz w:val="20"/>
          <w:szCs w:val="20"/>
        </w:rPr>
        <w:t>the Section</w:t>
      </w:r>
      <w:proofErr w:type="gramEnd"/>
      <w:r w:rsidRPr="004550F3">
        <w:rPr>
          <w:rFonts w:ascii="Montserrat" w:hAnsi="Montserrat"/>
          <w:sz w:val="20"/>
          <w:szCs w:val="20"/>
        </w:rPr>
        <w:t xml:space="preserve"> 174 Fix restored immediate </w:t>
      </w:r>
      <w:proofErr w:type="gramStart"/>
      <w:r w:rsidRPr="004550F3">
        <w:rPr>
          <w:rFonts w:ascii="Montserrat" w:hAnsi="Montserrat"/>
          <w:sz w:val="20"/>
          <w:szCs w:val="20"/>
        </w:rPr>
        <w:t>expensing</w:t>
      </w:r>
      <w:proofErr w:type="gramEnd"/>
      <w:r w:rsidRPr="004550F3">
        <w:rPr>
          <w:rFonts w:ascii="Montserrat" w:hAnsi="Montserrat"/>
          <w:sz w:val="20"/>
          <w:szCs w:val="20"/>
        </w:rPr>
        <w:t xml:space="preserve"> of domestic research and experimental (R&amp;E) costs, reversing amortization rules enacted in 2017. While this change reduced the after-tax cost of innovation, it provides limited advantage to pre-revenue biomedical firms that lead early-phase development.</w:t>
      </w:r>
    </w:p>
    <w:p w14:paraId="5D83FF93"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evaluate whether the Section 174 Fix strengthens U.S. competitiveness in early-phase clinical trial placement and to identify its limitations for pre-revenue biomedical companies.</w:t>
      </w:r>
    </w:p>
    <w:p w14:paraId="2BF097F3" w14:textId="77777777" w:rsidR="00543FEE" w:rsidRPr="004550F3" w:rsidRDefault="00543FEE" w:rsidP="00543FEE">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comparative policy analysis was conducted using statutory review, international benchmarking, and synthesis of financial incentive models for clinical research. Emphasis was placed on Canada’s refundable Scientific Research and Experimental Development program and Australia’s Research and Development Tax Incentive.</w:t>
      </w:r>
    </w:p>
    <w:p w14:paraId="209AA1EB" w14:textId="11E6F0CD" w:rsidR="00543FEE" w:rsidRPr="004550F3" w:rsidRDefault="00543FEE" w:rsidP="00E63AEB">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Immediate </w:t>
      </w:r>
      <w:proofErr w:type="gramStart"/>
      <w:r w:rsidRPr="004550F3">
        <w:rPr>
          <w:rFonts w:ascii="Montserrat" w:hAnsi="Montserrat"/>
          <w:sz w:val="20"/>
          <w:szCs w:val="20"/>
        </w:rPr>
        <w:t>expensing</w:t>
      </w:r>
      <w:proofErr w:type="gramEnd"/>
      <w:r w:rsidRPr="004550F3">
        <w:rPr>
          <w:rFonts w:ascii="Montserrat" w:hAnsi="Montserrat"/>
          <w:sz w:val="20"/>
          <w:szCs w:val="20"/>
        </w:rPr>
        <w:t xml:space="preserve"> corrected a distortion that raised R&amp;E costs between 2022 and 2024 but benefits only taxable firms. Evidence indicates refundable credits more effectively stimulate early-phase trial activity among pre-revenue sponsors by providing liquidity for reinvestment.</w:t>
      </w:r>
    </w:p>
    <w:p w14:paraId="52B87C2E"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532464E8" w14:textId="03D185AA" w:rsidR="00FA4C36" w:rsidRPr="004550F3" w:rsidRDefault="00FA4C36" w:rsidP="00FA4C36">
      <w:pPr>
        <w:rPr>
          <w:rFonts w:ascii="Montserrat" w:hAnsi="Montserrat"/>
          <w:sz w:val="20"/>
          <w:szCs w:val="20"/>
        </w:rPr>
      </w:pPr>
      <w:r w:rsidRPr="004550F3">
        <w:rPr>
          <w:rFonts w:ascii="Montserrat" w:hAnsi="Montserrat"/>
          <w:b/>
          <w:bCs/>
          <w:sz w:val="20"/>
          <w:szCs w:val="20"/>
        </w:rPr>
        <w:t>Ehrmantraut D.</w:t>
      </w:r>
      <w:r w:rsidRPr="004550F3">
        <w:rPr>
          <w:rFonts w:ascii="Montserrat" w:hAnsi="Montserrat"/>
          <w:sz w:val="20"/>
          <w:szCs w:val="20"/>
        </w:rPr>
        <w:t xml:space="preserve"> First-Contact Providers for Patients with Musculoskeletal Disorders: What are the Beliefs of Chiropractors, Nurse Practitioners, Physical Therapists, and Physician Assistants?</w:t>
      </w:r>
      <w:r w:rsidRPr="004550F3">
        <w:rPr>
          <w:rFonts w:ascii="Montserrat" w:hAnsi="Montserrat"/>
          <w:b/>
          <w:bCs/>
          <w:sz w:val="20"/>
          <w:szCs w:val="20"/>
        </w:rPr>
        <w:t>  </w:t>
      </w:r>
      <w:r w:rsidRPr="004550F3">
        <w:rPr>
          <w:rFonts w:ascii="Montserrat" w:hAnsi="Montserrat"/>
          <w:sz w:val="20"/>
          <w:szCs w:val="20"/>
        </w:rPr>
        <w:t>3</w:t>
      </w:r>
      <w:r w:rsidRPr="004550F3">
        <w:rPr>
          <w:rFonts w:ascii="Montserrat" w:hAnsi="Montserrat"/>
          <w:sz w:val="20"/>
          <w:szCs w:val="20"/>
          <w:vertAlign w:val="superscript"/>
        </w:rPr>
        <w:t>rd</w:t>
      </w:r>
      <w:r w:rsidRPr="004550F3">
        <w:rPr>
          <w:rFonts w:ascii="Montserrat" w:hAnsi="Montserrat"/>
          <w:sz w:val="20"/>
          <w:szCs w:val="20"/>
        </w:rPr>
        <w:t xml:space="preserve"> year PhD student Accepted for </w:t>
      </w:r>
      <w:r w:rsidR="00991A38" w:rsidRPr="004550F3">
        <w:rPr>
          <w:rFonts w:ascii="Montserrat" w:hAnsi="Montserrat"/>
          <w:sz w:val="20"/>
          <w:szCs w:val="20"/>
        </w:rPr>
        <w:t>Candidacy</w:t>
      </w:r>
      <w:r w:rsidR="003E2425" w:rsidRPr="004550F3">
        <w:rPr>
          <w:rFonts w:ascii="Montserrat" w:hAnsi="Montserrat"/>
          <w:sz w:val="20"/>
          <w:szCs w:val="20"/>
        </w:rPr>
        <w:t xml:space="preserve">. </w:t>
      </w:r>
      <w:r w:rsidRPr="004550F3">
        <w:rPr>
          <w:rFonts w:ascii="Montserrat" w:hAnsi="Montserrat"/>
          <w:sz w:val="20"/>
          <w:szCs w:val="20"/>
        </w:rPr>
        <w:t>Doctor of Physical Therapy Faculty, University of Jamestown, Jamestown, ND.</w:t>
      </w:r>
    </w:p>
    <w:p w14:paraId="124386EB" w14:textId="77777777" w:rsidR="00B35ACC" w:rsidRPr="004550F3" w:rsidRDefault="0070402A" w:rsidP="00FA4C36">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Musculoskeletal disorders (MSKDs) are increasing globally, heightening the need for skilled first-contact providers (FCPs) to offset physician shortages.</w:t>
      </w:r>
    </w:p>
    <w:p w14:paraId="00425271" w14:textId="77777777" w:rsidR="00B35ACC" w:rsidRPr="004550F3" w:rsidRDefault="0070402A" w:rsidP="00FA4C36">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assess how chiropractors, nurse practitioners (NPs), physical therapists (PTs), and physician assistants (PAs) perceive their own and each other’s roles in providing first-contact care for MSKDs.</w:t>
      </w:r>
    </w:p>
    <w:p w14:paraId="50317D6B" w14:textId="77777777" w:rsidR="00B35ACC" w:rsidRPr="004550F3" w:rsidRDefault="0070402A" w:rsidP="00FA4C36">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national survey was administered to chiropractors, NPs, PTs, and PAs across the United States. Multivariate analysis of variance (MANOVA) and post-hoc descriptive discriminant analysis compared FCP beliefs.</w:t>
      </w:r>
    </w:p>
    <w:p w14:paraId="0006F7E9" w14:textId="77777777" w:rsidR="00B35ACC" w:rsidRPr="004550F3" w:rsidRDefault="0070402A" w:rsidP="00FA4C36">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Distinct differences emerged among professions in perceived scope, capability, and appropriateness for FCP roles.</w:t>
      </w:r>
    </w:p>
    <w:p w14:paraId="73B7D4E3" w14:textId="1C704653" w:rsidR="0070402A" w:rsidRPr="004550F3" w:rsidRDefault="0070402A" w:rsidP="00FA4C36">
      <w:pPr>
        <w:rPr>
          <w:rFonts w:ascii="Montserrat" w:hAnsi="Montserrat"/>
          <w:b/>
          <w:bCs/>
          <w:sz w:val="20"/>
          <w:szCs w:val="20"/>
        </w:rPr>
      </w:pPr>
      <w:r w:rsidRPr="004550F3">
        <w:rPr>
          <w:rFonts w:ascii="Montserrat" w:hAnsi="Montserrat"/>
          <w:b/>
          <w:bCs/>
          <w:sz w:val="20"/>
          <w:szCs w:val="20"/>
        </w:rPr>
        <w:lastRenderedPageBreak/>
        <w:t xml:space="preserve">Conclusion: </w:t>
      </w:r>
      <w:r w:rsidR="00B46FFC" w:rsidRPr="004550F3">
        <w:rPr>
          <w:rFonts w:ascii="Montserrat" w:hAnsi="Montserrat"/>
          <w:sz w:val="20"/>
          <w:szCs w:val="20"/>
        </w:rPr>
        <w:t xml:space="preserve">While all professions supported the inclusion of each FCP type in first-contact MSKD care, they favored a more limited scope for chiropractors and </w:t>
      </w:r>
      <w:proofErr w:type="spellStart"/>
      <w:r w:rsidR="00B46FFC" w:rsidRPr="004550F3">
        <w:rPr>
          <w:rFonts w:ascii="Montserrat" w:hAnsi="Montserrat"/>
          <w:sz w:val="20"/>
          <w:szCs w:val="20"/>
        </w:rPr>
        <w:t>PTs.</w:t>
      </w:r>
      <w:proofErr w:type="spellEnd"/>
      <w:r w:rsidR="00B46FFC" w:rsidRPr="004550F3">
        <w:rPr>
          <w:rFonts w:ascii="Montserrat" w:hAnsi="Montserrat"/>
          <w:sz w:val="20"/>
          <w:szCs w:val="20"/>
        </w:rPr>
        <w:t xml:space="preserve"> Understanding these beliefs may help identify barriers to integrating diverse FCPs into primary care settings.</w:t>
      </w:r>
      <w:r w:rsidR="00B46FFC" w:rsidRPr="004550F3" w:rsidDel="00CD37D5">
        <w:rPr>
          <w:rFonts w:ascii="Montserrat" w:hAnsi="Montserrat"/>
          <w:sz w:val="20"/>
          <w:szCs w:val="20"/>
        </w:rPr>
        <w:t xml:space="preserve"> </w:t>
      </w:r>
    </w:p>
    <w:p w14:paraId="0A80C6A8"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2EEA757C" w14:textId="6EDA93D1" w:rsidR="00167AFE" w:rsidRPr="004550F3" w:rsidRDefault="00167AFE" w:rsidP="00BA5AE3">
      <w:pPr>
        <w:rPr>
          <w:rFonts w:ascii="Montserrat" w:hAnsi="Montserrat"/>
          <w:sz w:val="20"/>
          <w:szCs w:val="20"/>
        </w:rPr>
      </w:pPr>
      <w:r w:rsidRPr="004550F3">
        <w:rPr>
          <w:rFonts w:ascii="Montserrat" w:hAnsi="Montserrat"/>
          <w:b/>
          <w:bCs/>
          <w:sz w:val="20"/>
          <w:szCs w:val="20"/>
        </w:rPr>
        <w:t xml:space="preserve">Freeman S. </w:t>
      </w:r>
      <w:r w:rsidRPr="004550F3">
        <w:rPr>
          <w:rFonts w:ascii="Montserrat" w:hAnsi="Montserrat"/>
          <w:sz w:val="20"/>
          <w:szCs w:val="20"/>
        </w:rPr>
        <w:t>Risk Factors Associated with Moral Injury in Military Personnel: RAMMP-Up</w:t>
      </w:r>
      <w:r w:rsidR="005F3757" w:rsidRPr="004550F3">
        <w:rPr>
          <w:rFonts w:ascii="Montserrat" w:hAnsi="Montserrat"/>
          <w:sz w:val="20"/>
          <w:szCs w:val="20"/>
        </w:rPr>
        <w:t xml:space="preserve"> </w:t>
      </w:r>
      <w:r w:rsidRPr="004550F3">
        <w:rPr>
          <w:rFonts w:ascii="Montserrat" w:hAnsi="Montserrat"/>
          <w:sz w:val="20"/>
          <w:szCs w:val="20"/>
        </w:rPr>
        <w:t>A Risk-Profiling Feasibility Study. 3</w:t>
      </w:r>
      <w:r w:rsidRPr="004550F3">
        <w:rPr>
          <w:rFonts w:ascii="Montserrat" w:hAnsi="Montserrat"/>
          <w:sz w:val="20"/>
          <w:szCs w:val="20"/>
          <w:vertAlign w:val="superscript"/>
        </w:rPr>
        <w:t>rd</w:t>
      </w:r>
      <w:r w:rsidRPr="004550F3">
        <w:rPr>
          <w:rFonts w:ascii="Montserrat" w:hAnsi="Montserrat"/>
          <w:sz w:val="20"/>
          <w:szCs w:val="20"/>
        </w:rPr>
        <w:t xml:space="preserve"> year PhD student Accepted for </w:t>
      </w:r>
      <w:r w:rsidR="00991A38" w:rsidRPr="004550F3">
        <w:rPr>
          <w:rFonts w:ascii="Montserrat" w:hAnsi="Montserrat"/>
          <w:sz w:val="20"/>
          <w:szCs w:val="20"/>
        </w:rPr>
        <w:t>Candidacy</w:t>
      </w:r>
      <w:r w:rsidR="003E2425" w:rsidRPr="004550F3">
        <w:rPr>
          <w:rFonts w:ascii="Montserrat" w:hAnsi="Montserrat"/>
          <w:sz w:val="20"/>
          <w:szCs w:val="20"/>
        </w:rPr>
        <w:t xml:space="preserve">. </w:t>
      </w:r>
      <w:r w:rsidR="00BA5AE3" w:rsidRPr="004550F3">
        <w:rPr>
          <w:rFonts w:ascii="Montserrat" w:hAnsi="Montserrat"/>
          <w:sz w:val="20"/>
          <w:szCs w:val="20"/>
        </w:rPr>
        <w:t>Senior Clinical Research Associate/Senior Clinical Research Associate</w:t>
      </w:r>
      <w:r w:rsidR="00D7112B" w:rsidRPr="004550F3">
        <w:rPr>
          <w:rFonts w:ascii="Montserrat" w:hAnsi="Montserrat"/>
          <w:sz w:val="20"/>
          <w:szCs w:val="20"/>
        </w:rPr>
        <w:t xml:space="preserve"> </w:t>
      </w:r>
      <w:r w:rsidR="00BA5AE3" w:rsidRPr="004550F3">
        <w:rPr>
          <w:rFonts w:ascii="Montserrat" w:hAnsi="Montserrat"/>
          <w:sz w:val="20"/>
          <w:szCs w:val="20"/>
        </w:rPr>
        <w:t>NX Development Corp. Contract, LCDR, Nurse Corps, USNLCDR, Nurse Corps, USN, Raleigh, NC</w:t>
      </w:r>
      <w:r w:rsidR="00505537" w:rsidRPr="004550F3">
        <w:rPr>
          <w:rFonts w:ascii="Montserrat" w:hAnsi="Montserrat"/>
          <w:sz w:val="20"/>
          <w:szCs w:val="20"/>
        </w:rPr>
        <w:t xml:space="preserve">. </w:t>
      </w:r>
      <w:r w:rsidR="004A78F8" w:rsidRPr="004550F3">
        <w:rPr>
          <w:rFonts w:ascii="Montserrat" w:hAnsi="Montserrat"/>
          <w:sz w:val="20"/>
          <w:szCs w:val="20"/>
        </w:rPr>
        <w:t>(VIRTUAL)</w:t>
      </w:r>
    </w:p>
    <w:p w14:paraId="42EDEED3" w14:textId="77777777" w:rsidR="00B35ACC" w:rsidRPr="004550F3" w:rsidRDefault="00A15AD2" w:rsidP="00BA5AE3">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Military personnel are often exposed to potentially morally injurious events (PMIEs) that challenge core values and can lead to long-term psychological consequences. Despite growing awareness, no validated tool exists to identify those at risk before symptoms appear.</w:t>
      </w:r>
    </w:p>
    <w:p w14:paraId="4D30895C" w14:textId="77777777" w:rsidR="00B35ACC" w:rsidRPr="004550F3" w:rsidRDefault="00A15AD2" w:rsidP="00BA5AE3">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develop and pilot a survey tool for early identification of service members vulnerable to moral injury.</w:t>
      </w:r>
    </w:p>
    <w:p w14:paraId="00BBDF42" w14:textId="77777777" w:rsidR="00B35ACC" w:rsidRPr="004550F3" w:rsidRDefault="00A15AD2" w:rsidP="00BA5AE3">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The RAMMP-Up study employs a mixed-methods approach informed by a systematic review and secondary data analysis. A cross-sectional Qualtrics survey of 100 U.S. service members integrates demographic, psychosocial, and service-related factors with validated instruments (Combat Exposure Scale, CAGE-AID, and Moral Injury Events Scale). Feasibility, acceptability, and internal consistency (Cronbach’s </w:t>
      </w:r>
      <w:r w:rsidRPr="004550F3">
        <w:rPr>
          <w:rFonts w:ascii="Cambria" w:hAnsi="Cambria" w:cs="Cambria"/>
          <w:sz w:val="20"/>
          <w:szCs w:val="20"/>
        </w:rPr>
        <w:t>α</w:t>
      </w:r>
      <w:r w:rsidRPr="004550F3">
        <w:rPr>
          <w:rFonts w:ascii="Montserrat" w:hAnsi="Montserrat"/>
          <w:sz w:val="20"/>
          <w:szCs w:val="20"/>
        </w:rPr>
        <w:t xml:space="preserve"> ≥ 0.80) are being evaluated.</w:t>
      </w:r>
    </w:p>
    <w:p w14:paraId="10F8CE34" w14:textId="12F929DE" w:rsidR="00B35ACC" w:rsidRPr="004550F3" w:rsidRDefault="00A15AD2" w:rsidP="00BA5AE3">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Anticipated predictors of moral injury include younger age, junior rank, low social support, trauma history, and substance use. Tool scores are expected to correlate significantly with MIES scores, supporting convergent validity.</w:t>
      </w:r>
    </w:p>
    <w:p w14:paraId="77F3FB65" w14:textId="759FDD46" w:rsidR="00A15AD2" w:rsidRPr="004550F3" w:rsidRDefault="00A15AD2" w:rsidP="00BA5AE3">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The RAMMP-Up study will generate preliminary evidence for a feasible and valid moral injury risk-profiling tool, enabling proactive screening and targeted interventions to enhance military mental health and resilience.</w:t>
      </w:r>
    </w:p>
    <w:p w14:paraId="24632C45"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05CD08B1" w14:textId="6371EF85" w:rsidR="00F977EF" w:rsidRPr="004550F3" w:rsidRDefault="00CA2B57" w:rsidP="00BA5AE3">
      <w:pPr>
        <w:rPr>
          <w:rFonts w:ascii="Montserrat" w:hAnsi="Montserrat"/>
          <w:sz w:val="20"/>
          <w:szCs w:val="20"/>
        </w:rPr>
      </w:pPr>
      <w:r w:rsidRPr="004550F3">
        <w:rPr>
          <w:rFonts w:ascii="Montserrat" w:hAnsi="Montserrat"/>
          <w:b/>
          <w:bCs/>
          <w:sz w:val="20"/>
          <w:szCs w:val="20"/>
        </w:rPr>
        <w:t>Katsma A</w:t>
      </w:r>
      <w:r w:rsidRPr="004550F3">
        <w:rPr>
          <w:rFonts w:ascii="Montserrat" w:hAnsi="Montserrat"/>
          <w:sz w:val="20"/>
          <w:szCs w:val="20"/>
        </w:rPr>
        <w:t xml:space="preserve">. </w:t>
      </w:r>
      <w:r w:rsidR="00B97792" w:rsidRPr="004550F3">
        <w:rPr>
          <w:rFonts w:ascii="Montserrat" w:hAnsi="Montserrat"/>
          <w:sz w:val="20"/>
          <w:szCs w:val="20"/>
        </w:rPr>
        <w:t xml:space="preserve">Quality Matters in Surgical Pathology: Perceptions, Beliefs, and Reality. </w:t>
      </w:r>
      <w:r w:rsidRPr="004550F3">
        <w:rPr>
          <w:rFonts w:ascii="Montserrat" w:hAnsi="Montserrat"/>
          <w:sz w:val="20"/>
          <w:szCs w:val="20"/>
        </w:rPr>
        <w:t>2nd year PhD student</w:t>
      </w:r>
      <w:r w:rsidR="00B97792" w:rsidRPr="004550F3">
        <w:rPr>
          <w:rFonts w:ascii="Montserrat" w:hAnsi="Montserrat"/>
          <w:sz w:val="20"/>
          <w:szCs w:val="20"/>
        </w:rPr>
        <w:t>. Pathologist Assistant, Medical College of Wisconsin, West Bend, WI</w:t>
      </w:r>
      <w:r w:rsidR="00D31E24" w:rsidRPr="004550F3">
        <w:rPr>
          <w:rFonts w:ascii="Montserrat" w:hAnsi="Montserrat"/>
          <w:sz w:val="20"/>
          <w:szCs w:val="20"/>
        </w:rPr>
        <w:t xml:space="preserve">, </w:t>
      </w:r>
      <w:r w:rsidR="00695863" w:rsidRPr="004550F3">
        <w:rPr>
          <w:rFonts w:ascii="Montserrat" w:hAnsi="Montserrat"/>
          <w:sz w:val="20"/>
          <w:szCs w:val="20"/>
        </w:rPr>
        <w:t>Director, Research &amp; Development, Vector Surgical</w:t>
      </w:r>
      <w:r w:rsidR="00B97792" w:rsidRPr="004550F3">
        <w:rPr>
          <w:rFonts w:ascii="Montserrat" w:hAnsi="Montserrat"/>
          <w:sz w:val="20"/>
          <w:szCs w:val="20"/>
        </w:rPr>
        <w:t>.</w:t>
      </w:r>
      <w:r w:rsidR="00F66FFF" w:rsidRPr="004550F3">
        <w:rPr>
          <w:rFonts w:ascii="Montserrat" w:hAnsi="Montserrat"/>
          <w:sz w:val="20"/>
          <w:szCs w:val="20"/>
        </w:rPr>
        <w:t xml:space="preserve"> </w:t>
      </w:r>
    </w:p>
    <w:p w14:paraId="78CBCA77" w14:textId="77777777" w:rsidR="00B35ACC" w:rsidRPr="004550F3" w:rsidRDefault="00382E03" w:rsidP="00BA5AE3">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Surgical pathology informs nearly 70% of clinical decisions, yet the manual testing process is prone to error.</w:t>
      </w:r>
    </w:p>
    <w:p w14:paraId="0A91BDA1" w14:textId="77777777" w:rsidR="00B35ACC" w:rsidRPr="004550F3" w:rsidRDefault="00382E03" w:rsidP="00BA5AE3">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To evaluate discrepancies between perceived and actual quality in surgical pathology.</w:t>
      </w:r>
    </w:p>
    <w:p w14:paraId="6E950818" w14:textId="2C3D09C5" w:rsidR="00B35ACC" w:rsidRPr="004550F3" w:rsidRDefault="00382E03" w:rsidP="00BA5AE3">
      <w:pPr>
        <w:rPr>
          <w:rFonts w:ascii="Montserrat" w:hAnsi="Montserrat"/>
          <w:sz w:val="20"/>
          <w:szCs w:val="20"/>
        </w:rPr>
      </w:pPr>
      <w:r w:rsidRPr="004550F3">
        <w:rPr>
          <w:rFonts w:ascii="Montserrat" w:hAnsi="Montserrat"/>
          <w:b/>
          <w:bCs/>
          <w:sz w:val="20"/>
          <w:szCs w:val="20"/>
        </w:rPr>
        <w:t xml:space="preserve">Methods: </w:t>
      </w:r>
      <w:r w:rsidRPr="004550F3">
        <w:rPr>
          <w:rFonts w:ascii="Montserrat" w:hAnsi="Montserrat"/>
          <w:sz w:val="20"/>
          <w:szCs w:val="20"/>
        </w:rPr>
        <w:t xml:space="preserve">Three complementary studies </w:t>
      </w:r>
      <w:r w:rsidR="00695863" w:rsidRPr="004550F3">
        <w:rPr>
          <w:rFonts w:ascii="Montserrat" w:hAnsi="Montserrat"/>
          <w:sz w:val="20"/>
          <w:szCs w:val="20"/>
        </w:rPr>
        <w:t xml:space="preserve">are being </w:t>
      </w:r>
      <w:r w:rsidRPr="004550F3">
        <w:rPr>
          <w:rFonts w:ascii="Montserrat" w:hAnsi="Montserrat"/>
          <w:sz w:val="20"/>
          <w:szCs w:val="20"/>
        </w:rPr>
        <w:t>conducted: (1) a systematic review and meta-analysis of error prevalence; (2) a survey of healthcare professionals on knowledge and practices related to specimen errors</w:t>
      </w:r>
      <w:r w:rsidR="00695863" w:rsidRPr="004550F3">
        <w:rPr>
          <w:rFonts w:ascii="Montserrat" w:hAnsi="Montserrat"/>
          <w:sz w:val="20"/>
          <w:szCs w:val="20"/>
        </w:rPr>
        <w:t xml:space="preserve"> across the surgical pathology workflow</w:t>
      </w:r>
      <w:r w:rsidRPr="004550F3">
        <w:rPr>
          <w:rFonts w:ascii="Montserrat" w:hAnsi="Montserrat"/>
          <w:sz w:val="20"/>
          <w:szCs w:val="20"/>
        </w:rPr>
        <w:t>; and (3) a prospective observational study monitoring real-time laboratory errors.</w:t>
      </w:r>
    </w:p>
    <w:p w14:paraId="46872042" w14:textId="5203B82F" w:rsidR="00B35ACC" w:rsidRPr="004550F3" w:rsidRDefault="00382E03" w:rsidP="00BA5AE3">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The meta-analysis identified 56.9 errors per 1,000 cases (16.7 pre-analytic, 40.2 laboratory, 4.9 reported). Survey data </w:t>
      </w:r>
      <w:r w:rsidR="00D31E24" w:rsidRPr="004550F3">
        <w:rPr>
          <w:rFonts w:ascii="Montserrat" w:hAnsi="Montserrat"/>
          <w:sz w:val="20"/>
          <w:szCs w:val="20"/>
        </w:rPr>
        <w:t>collection is ongoing.</w:t>
      </w:r>
    </w:p>
    <w:p w14:paraId="3E1C6A17" w14:textId="348DFF47" w:rsidR="00382E03" w:rsidRPr="004550F3" w:rsidRDefault="00382E03" w:rsidP="00BA5AE3">
      <w:pPr>
        <w:rPr>
          <w:rFonts w:ascii="Montserrat" w:hAnsi="Montserrat"/>
          <w:sz w:val="20"/>
          <w:szCs w:val="20"/>
        </w:rPr>
      </w:pPr>
      <w:r w:rsidRPr="004550F3">
        <w:rPr>
          <w:rFonts w:ascii="Montserrat" w:hAnsi="Montserrat"/>
          <w:b/>
          <w:bCs/>
          <w:sz w:val="20"/>
          <w:szCs w:val="20"/>
        </w:rPr>
        <w:lastRenderedPageBreak/>
        <w:t>Conclusion:</w:t>
      </w:r>
      <w:r w:rsidRPr="004550F3">
        <w:rPr>
          <w:rFonts w:ascii="Montserrat" w:hAnsi="Montserrat"/>
          <w:sz w:val="20"/>
          <w:szCs w:val="20"/>
        </w:rPr>
        <w:t xml:space="preserve"> Significant gaps exist between literature, perception, and observed practice. Addressing these discrepancies may improve surgical pathology quality and patient outcomes.</w:t>
      </w:r>
    </w:p>
    <w:p w14:paraId="0BA60DD0"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7FDB286D" w14:textId="0946D1ED" w:rsidR="005E72BD" w:rsidRPr="004550F3" w:rsidRDefault="00F66FFF" w:rsidP="00F66FFF">
      <w:pPr>
        <w:rPr>
          <w:rFonts w:ascii="Montserrat" w:hAnsi="Montserrat"/>
          <w:sz w:val="20"/>
          <w:szCs w:val="20"/>
        </w:rPr>
      </w:pPr>
      <w:proofErr w:type="spellStart"/>
      <w:r w:rsidRPr="004550F3">
        <w:rPr>
          <w:rFonts w:ascii="Montserrat" w:hAnsi="Montserrat"/>
          <w:b/>
          <w:bCs/>
          <w:sz w:val="20"/>
          <w:szCs w:val="20"/>
        </w:rPr>
        <w:t>Krishnaraj</w:t>
      </w:r>
      <w:proofErr w:type="spellEnd"/>
      <w:r w:rsidRPr="004550F3">
        <w:rPr>
          <w:rFonts w:ascii="Montserrat" w:hAnsi="Montserrat"/>
          <w:sz w:val="20"/>
          <w:szCs w:val="20"/>
        </w:rPr>
        <w:t xml:space="preserve"> </w:t>
      </w:r>
      <w:r w:rsidRPr="004550F3">
        <w:rPr>
          <w:rFonts w:ascii="Montserrat" w:hAnsi="Montserrat"/>
          <w:b/>
          <w:bCs/>
          <w:sz w:val="20"/>
          <w:szCs w:val="20"/>
        </w:rPr>
        <w:t>S</w:t>
      </w:r>
      <w:r w:rsidRPr="004550F3">
        <w:rPr>
          <w:rFonts w:ascii="Montserrat" w:hAnsi="Montserrat"/>
          <w:sz w:val="20"/>
          <w:szCs w:val="20"/>
        </w:rPr>
        <w:t>. Trials Through Their Eyes: Patient Perspectives on Traditional and Decentralized Clinical Trial Designs</w:t>
      </w:r>
      <w:r w:rsidR="003E2425" w:rsidRPr="004550F3">
        <w:rPr>
          <w:rFonts w:ascii="Montserrat" w:hAnsi="Montserrat"/>
          <w:sz w:val="20"/>
          <w:szCs w:val="20"/>
        </w:rPr>
        <w:t xml:space="preserve">. 2nd year PhD student. </w:t>
      </w:r>
      <w:r w:rsidR="005E72BD" w:rsidRPr="004550F3">
        <w:rPr>
          <w:rFonts w:ascii="Montserrat" w:eastAsia="Times New Roman" w:hAnsi="Montserrat"/>
          <w:sz w:val="20"/>
          <w:szCs w:val="20"/>
        </w:rPr>
        <w:t>Associate Director, Clinical Database Programming</w:t>
      </w:r>
      <w:r w:rsidR="005E72BD" w:rsidRPr="004550F3">
        <w:rPr>
          <w:rFonts w:ascii="Montserrat" w:hAnsi="Montserrat"/>
          <w:sz w:val="20"/>
          <w:szCs w:val="20"/>
        </w:rPr>
        <w:t>, Roivant Sciences</w:t>
      </w:r>
    </w:p>
    <w:p w14:paraId="55B13B44" w14:textId="77777777" w:rsidR="00DB3A18" w:rsidRPr="004550F3" w:rsidRDefault="00DB3A18" w:rsidP="00F66FFF">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Clinical trials are essential to medical innovation, yet participant recruitment and retention remain major barriers. As decentralized clinical trials (DCTs) expand beyond traditional site-based models, understanding patient experiences across both formats is crucial to improve engagement and data quality. Limited evidence directly compares patient perspectives on traditional and decentralized trial operations.</w:t>
      </w:r>
    </w:p>
    <w:p w14:paraId="6FB7B490" w14:textId="77777777" w:rsidR="000A7717" w:rsidRDefault="00DB3A18" w:rsidP="000A7717">
      <w:pPr>
        <w:spacing w:after="0"/>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examine differences in participant-reported experiences, satisfaction, and engagement between traditional and decentralized clinical trial designs.</w:t>
      </w:r>
    </w:p>
    <w:p w14:paraId="376D63E1" w14:textId="77777777" w:rsidR="000A7717" w:rsidRDefault="000A7717" w:rsidP="000A7717">
      <w:pPr>
        <w:spacing w:after="0"/>
        <w:rPr>
          <w:rFonts w:ascii="Montserrat" w:hAnsi="Montserrat"/>
          <w:sz w:val="20"/>
          <w:szCs w:val="20"/>
        </w:rPr>
      </w:pPr>
    </w:p>
    <w:p w14:paraId="52A38AE6" w14:textId="7596DB71" w:rsidR="00DB3A18" w:rsidRDefault="00DB3A18" w:rsidP="000A7717">
      <w:pPr>
        <w:spacing w:after="0"/>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A qualitative study was conducted using virtual focus groups with adults who had participated in either traditional or decentralized trials. Semi-structured interviews explored motivations, burdens, communication, and perceived support. Transcripts were thematically coded and analyzed inductively to identify patterns in engagement, satisfaction, and retention factors.</w:t>
      </w:r>
    </w:p>
    <w:p w14:paraId="3B5AB777" w14:textId="77777777" w:rsidR="000A7717" w:rsidRPr="004550F3" w:rsidRDefault="000A7717" w:rsidP="000A7717">
      <w:pPr>
        <w:spacing w:after="0"/>
        <w:rPr>
          <w:rFonts w:ascii="Montserrat" w:hAnsi="Montserrat"/>
          <w:sz w:val="20"/>
          <w:szCs w:val="20"/>
        </w:rPr>
      </w:pPr>
    </w:p>
    <w:p w14:paraId="6219192A" w14:textId="77777777" w:rsidR="000A7717" w:rsidRDefault="00DB3A18" w:rsidP="00F66FFF">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Analyses will describe themes of motivation, convenience, communication quality, and interpersonal connection across trial types. Comparative findings will highlight how logistical burden, flexibility, and support influence patient satisfaction and continued participation.</w:t>
      </w:r>
    </w:p>
    <w:p w14:paraId="38A89825" w14:textId="20867A93" w:rsidR="00DB3A18" w:rsidRPr="000A7717" w:rsidRDefault="00DB3A18" w:rsidP="00F66FFF">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This study will provide evidence on patient-centered factors shaping engagement in traditional versus decentralized trials, informing design strategies that enhance retention and trial quality across models.</w:t>
      </w:r>
    </w:p>
    <w:p w14:paraId="77E75033"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37604A17" w14:textId="280D7C35" w:rsidR="00CA2B57" w:rsidRPr="004550F3" w:rsidRDefault="00F977EF" w:rsidP="00BA5AE3">
      <w:pPr>
        <w:rPr>
          <w:rFonts w:ascii="Montserrat" w:hAnsi="Montserrat"/>
          <w:sz w:val="20"/>
          <w:szCs w:val="20"/>
        </w:rPr>
      </w:pPr>
      <w:r w:rsidRPr="004550F3">
        <w:rPr>
          <w:rFonts w:ascii="Montserrat" w:hAnsi="Montserrat"/>
          <w:b/>
          <w:bCs/>
          <w:sz w:val="20"/>
          <w:szCs w:val="20"/>
        </w:rPr>
        <w:t>Leaf D.</w:t>
      </w:r>
      <w:r w:rsidRPr="004550F3">
        <w:rPr>
          <w:rFonts w:ascii="Montserrat" w:hAnsi="Montserrat"/>
          <w:sz w:val="20"/>
          <w:szCs w:val="20"/>
        </w:rPr>
        <w:t xml:space="preserve"> Pilot Study: Barriers to Access to Pediatric Rehabilitation Services. </w:t>
      </w:r>
      <w:proofErr w:type="gramStart"/>
      <w:r w:rsidR="00E3747B" w:rsidRPr="004550F3">
        <w:rPr>
          <w:rFonts w:ascii="Montserrat" w:hAnsi="Montserrat"/>
          <w:sz w:val="20"/>
          <w:szCs w:val="20"/>
        </w:rPr>
        <w:t>3</w:t>
      </w:r>
      <w:r w:rsidR="00E3747B" w:rsidRPr="004550F3">
        <w:rPr>
          <w:rFonts w:ascii="Montserrat" w:hAnsi="Montserrat"/>
          <w:sz w:val="20"/>
          <w:szCs w:val="20"/>
          <w:vertAlign w:val="superscript"/>
        </w:rPr>
        <w:t>rd</w:t>
      </w:r>
      <w:proofErr w:type="gramEnd"/>
      <w:r w:rsidR="00E3747B" w:rsidRPr="004550F3">
        <w:rPr>
          <w:rFonts w:ascii="Montserrat" w:hAnsi="Montserrat"/>
          <w:sz w:val="20"/>
          <w:szCs w:val="20"/>
        </w:rPr>
        <w:t xml:space="preserve"> year PhD student Accepted for </w:t>
      </w:r>
      <w:r w:rsidR="00991A38" w:rsidRPr="004550F3">
        <w:rPr>
          <w:rFonts w:ascii="Montserrat" w:hAnsi="Montserrat"/>
          <w:sz w:val="20"/>
          <w:szCs w:val="20"/>
        </w:rPr>
        <w:t>Candidacy</w:t>
      </w:r>
      <w:r w:rsidR="00E3747B" w:rsidRPr="004550F3">
        <w:rPr>
          <w:rFonts w:ascii="Montserrat" w:hAnsi="Montserrat"/>
          <w:sz w:val="20"/>
          <w:szCs w:val="20"/>
        </w:rPr>
        <w:t xml:space="preserve">. Physical Therapist, Children’s Minnesota, St. Paul, MN. </w:t>
      </w:r>
    </w:p>
    <w:p w14:paraId="22249535" w14:textId="77777777" w:rsidR="005D422D" w:rsidRDefault="00B54B8E" w:rsidP="00BA5AE3">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Up to 20% of U.S. children require rehabilitation services, but access barriers persist.</w:t>
      </w:r>
    </w:p>
    <w:p w14:paraId="3557DDC0" w14:textId="707CCC05" w:rsidR="00B35ACC" w:rsidRPr="004550F3" w:rsidRDefault="00B54B8E" w:rsidP="00BA5AE3">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identify factors affecting access to pediatric rehabilitation and propose strategies to reduce inequities.</w:t>
      </w:r>
    </w:p>
    <w:p w14:paraId="7E4B174A" w14:textId="77777777" w:rsidR="00B35ACC" w:rsidRPr="004550F3" w:rsidRDefault="00B54B8E" w:rsidP="00BA5AE3">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Analysis of 2022 National Survey of Children’s Health data using chi-square and logistic regression.</w:t>
      </w:r>
    </w:p>
    <w:p w14:paraId="18A75546" w14:textId="77777777" w:rsidR="00B35ACC" w:rsidRPr="004550F3" w:rsidRDefault="00B54B8E" w:rsidP="00BA5AE3">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Income, insurance, and healthcare costs were significantly associated with unmet therapy needs. Insurance status paradoxically correlated with limited access in some cases.</w:t>
      </w:r>
    </w:p>
    <w:p w14:paraId="00368435" w14:textId="49107D65" w:rsidR="00B54B8E" w:rsidRPr="004550F3" w:rsidRDefault="00B54B8E" w:rsidP="00BA5AE3">
      <w:pPr>
        <w:rPr>
          <w:rFonts w:ascii="Montserrat" w:hAnsi="Montserrat"/>
          <w:sz w:val="20"/>
          <w:szCs w:val="20"/>
        </w:rPr>
      </w:pPr>
      <w:r w:rsidRPr="004550F3">
        <w:rPr>
          <w:rFonts w:ascii="Montserrat" w:hAnsi="Montserrat"/>
          <w:b/>
          <w:bCs/>
          <w:sz w:val="20"/>
          <w:szCs w:val="20"/>
        </w:rPr>
        <w:lastRenderedPageBreak/>
        <w:t>Conclusion:</w:t>
      </w:r>
      <w:r w:rsidRPr="004550F3">
        <w:rPr>
          <w:rFonts w:ascii="Montserrat" w:hAnsi="Montserrat"/>
          <w:sz w:val="20"/>
          <w:szCs w:val="20"/>
        </w:rPr>
        <w:t xml:space="preserve"> Findings reveal systemic barriers to pediatric rehabilitation, emphasizing the need for equitable, policy-driven improvements in care access.</w:t>
      </w:r>
    </w:p>
    <w:p w14:paraId="7FFC9C99"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1D91B938" w14:textId="75C4C2FB" w:rsidR="00DF2346" w:rsidRPr="004550F3" w:rsidRDefault="00DF2346" w:rsidP="00BA5AE3">
      <w:pPr>
        <w:rPr>
          <w:rFonts w:ascii="Montserrat" w:hAnsi="Montserrat"/>
          <w:sz w:val="20"/>
          <w:szCs w:val="20"/>
        </w:rPr>
      </w:pPr>
      <w:r w:rsidRPr="004550F3">
        <w:rPr>
          <w:rFonts w:ascii="Montserrat" w:hAnsi="Montserrat"/>
          <w:b/>
          <w:bCs/>
          <w:sz w:val="20"/>
          <w:szCs w:val="20"/>
        </w:rPr>
        <w:t xml:space="preserve">Manea H. </w:t>
      </w:r>
      <w:r w:rsidRPr="004550F3">
        <w:rPr>
          <w:rFonts w:ascii="Montserrat" w:hAnsi="Montserrat"/>
          <w:sz w:val="20"/>
          <w:szCs w:val="20"/>
        </w:rPr>
        <w:t>Prevalence of Hypomagnesemia in Patients with Type 2 Diabetes Mellitus in Southern Iraq: A Cross-Sectional Study. 1</w:t>
      </w:r>
      <w:r w:rsidRPr="004550F3">
        <w:rPr>
          <w:rFonts w:ascii="Montserrat" w:hAnsi="Montserrat"/>
          <w:sz w:val="20"/>
          <w:szCs w:val="20"/>
          <w:vertAlign w:val="superscript"/>
        </w:rPr>
        <w:t>st</w:t>
      </w:r>
      <w:r w:rsidRPr="004550F3">
        <w:rPr>
          <w:rFonts w:ascii="Montserrat" w:hAnsi="Montserrat"/>
          <w:sz w:val="20"/>
          <w:szCs w:val="20"/>
        </w:rPr>
        <w:t xml:space="preserve"> Year PhD student. Postdoc Research fellow in Vascular Surgery, Oregon Health and Science University, Portland, OR.  </w:t>
      </w:r>
    </w:p>
    <w:p w14:paraId="5C2C7B41" w14:textId="77777777" w:rsidR="00B35ACC" w:rsidRPr="004550F3" w:rsidRDefault="008634D5" w:rsidP="00BA5AE3">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Hypomagnesemia contributes to insulin resistance and complications in type 2 diabetes mellitus (T2DM), yet data from Iraq are limited.</w:t>
      </w:r>
    </w:p>
    <w:p w14:paraId="61BB9102" w14:textId="77777777" w:rsidR="00B35ACC" w:rsidRPr="004550F3" w:rsidRDefault="008634D5" w:rsidP="00BA5AE3">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determine the prevalence of hypomagnesemia and its clinical correlates among Iraqi T2DM patients.</w:t>
      </w:r>
    </w:p>
    <w:p w14:paraId="01AB5512" w14:textId="77777777" w:rsidR="00B35ACC" w:rsidRPr="004550F3" w:rsidRDefault="008634D5" w:rsidP="00BA5AE3">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Cross-sectional study of 320 adults with T2DM assessed serum magnesium, glycemic control, and complications.</w:t>
      </w:r>
    </w:p>
    <w:p w14:paraId="2368B393" w14:textId="475E8C42" w:rsidR="00B35ACC" w:rsidRPr="004550F3" w:rsidRDefault="008634D5" w:rsidP="00BA5AE3">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Hypomagnesemia was found in 38% of patients and correlated with higher HbA1c and longer diabetes duration. Poor </w:t>
      </w:r>
      <w:r w:rsidR="00253175" w:rsidRPr="004550F3">
        <w:rPr>
          <w:rFonts w:ascii="Montserrat" w:hAnsi="Montserrat"/>
          <w:sz w:val="20"/>
          <w:szCs w:val="20"/>
        </w:rPr>
        <w:t xml:space="preserve">glycemic </w:t>
      </w:r>
      <w:r w:rsidRPr="004550F3">
        <w:rPr>
          <w:rFonts w:ascii="Montserrat" w:hAnsi="Montserrat"/>
          <w:sz w:val="20"/>
          <w:szCs w:val="20"/>
        </w:rPr>
        <w:t>control and nephropathy independently predicted low magnesium.</w:t>
      </w:r>
    </w:p>
    <w:p w14:paraId="6D19CF66" w14:textId="5F8D10FF" w:rsidR="008634D5" w:rsidRPr="004550F3" w:rsidRDefault="008634D5" w:rsidP="00BA5AE3">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Hypomagnesemia is common in Iraqi T2DM patients and linked to poor outcomes. Routine screening </w:t>
      </w:r>
      <w:r w:rsidR="00253175" w:rsidRPr="004550F3">
        <w:rPr>
          <w:rFonts w:ascii="Montserrat" w:hAnsi="Montserrat"/>
          <w:sz w:val="20"/>
          <w:szCs w:val="20"/>
        </w:rPr>
        <w:t xml:space="preserve">and correction of magnesium deficiency </w:t>
      </w:r>
      <w:r w:rsidRPr="004550F3">
        <w:rPr>
          <w:rFonts w:ascii="Montserrat" w:hAnsi="Montserrat"/>
          <w:sz w:val="20"/>
          <w:szCs w:val="20"/>
        </w:rPr>
        <w:t>may improve disease management.</w:t>
      </w:r>
    </w:p>
    <w:p w14:paraId="7FB43790"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5A948314" w14:textId="139903F0" w:rsidR="00143193" w:rsidRPr="004550F3" w:rsidRDefault="00143193" w:rsidP="004A2AF7">
      <w:pPr>
        <w:rPr>
          <w:rFonts w:ascii="Montserrat" w:hAnsi="Montserrat"/>
          <w:sz w:val="20"/>
          <w:szCs w:val="20"/>
        </w:rPr>
      </w:pPr>
      <w:r w:rsidRPr="004550F3">
        <w:rPr>
          <w:rFonts w:ascii="Montserrat" w:hAnsi="Montserrat"/>
          <w:b/>
          <w:bCs/>
          <w:sz w:val="20"/>
          <w:szCs w:val="20"/>
          <w:lang w:val="en-NZ"/>
        </w:rPr>
        <w:t>Mat</w:t>
      </w:r>
      <w:r w:rsidR="006F7232" w:rsidRPr="004550F3">
        <w:rPr>
          <w:rFonts w:ascii="Montserrat" w:hAnsi="Montserrat"/>
          <w:b/>
          <w:bCs/>
          <w:sz w:val="20"/>
          <w:szCs w:val="20"/>
          <w:lang w:val="en-NZ"/>
        </w:rPr>
        <w:t>h</w:t>
      </w:r>
      <w:r w:rsidRPr="004550F3">
        <w:rPr>
          <w:rFonts w:ascii="Montserrat" w:hAnsi="Montserrat"/>
          <w:b/>
          <w:bCs/>
          <w:sz w:val="20"/>
          <w:szCs w:val="20"/>
          <w:lang w:val="en-NZ"/>
        </w:rPr>
        <w:t>ew B</w:t>
      </w:r>
      <w:r w:rsidRPr="004550F3">
        <w:rPr>
          <w:rFonts w:ascii="Montserrat" w:hAnsi="Montserrat"/>
          <w:sz w:val="20"/>
          <w:szCs w:val="20"/>
          <w:lang w:val="en-NZ"/>
        </w:rPr>
        <w:t>. Quality of Life of Community Dwellers with Spinal Cord Injury in Aotearoa, New Zealand and the effect of hospital admissions and length of stay: A cross-sectional analysis</w:t>
      </w:r>
      <w:r w:rsidRPr="004550F3">
        <w:rPr>
          <w:rFonts w:ascii="Montserrat" w:hAnsi="Montserrat"/>
          <w:sz w:val="20"/>
          <w:szCs w:val="20"/>
        </w:rPr>
        <w:t>. 3</w:t>
      </w:r>
      <w:r w:rsidRPr="004550F3">
        <w:rPr>
          <w:rFonts w:ascii="Montserrat" w:hAnsi="Montserrat"/>
          <w:sz w:val="20"/>
          <w:szCs w:val="20"/>
          <w:vertAlign w:val="superscript"/>
        </w:rPr>
        <w:t>rd</w:t>
      </w:r>
      <w:r w:rsidRPr="004550F3">
        <w:rPr>
          <w:rFonts w:ascii="Montserrat" w:hAnsi="Montserrat"/>
          <w:sz w:val="20"/>
          <w:szCs w:val="20"/>
        </w:rPr>
        <w:t xml:space="preserve"> Year PhD Student. </w:t>
      </w:r>
      <w:r w:rsidR="004A2AF7" w:rsidRPr="004550F3">
        <w:rPr>
          <w:rFonts w:ascii="Montserrat" w:hAnsi="Montserrat"/>
          <w:sz w:val="20"/>
          <w:szCs w:val="20"/>
        </w:rPr>
        <w:t xml:space="preserve">Physical Medicine and Rehabilitation Medicine Physician with specialty in Spinal Cord Injury Medicine, Auckland Spinal Rehabilitation Unit, </w:t>
      </w:r>
      <w:proofErr w:type="spellStart"/>
      <w:r w:rsidR="004A2AF7" w:rsidRPr="004550F3">
        <w:rPr>
          <w:rFonts w:ascii="Montserrat" w:hAnsi="Montserrat"/>
          <w:sz w:val="20"/>
          <w:szCs w:val="20"/>
        </w:rPr>
        <w:t>Te</w:t>
      </w:r>
      <w:proofErr w:type="spellEnd"/>
      <w:r w:rsidR="004A2AF7" w:rsidRPr="004550F3">
        <w:rPr>
          <w:rFonts w:ascii="Montserrat" w:hAnsi="Montserrat"/>
          <w:sz w:val="20"/>
          <w:szCs w:val="20"/>
        </w:rPr>
        <w:t xml:space="preserve"> Whatu Ora Counties, Manukau. </w:t>
      </w:r>
      <w:r w:rsidR="0000774F" w:rsidRPr="004550F3">
        <w:rPr>
          <w:rFonts w:ascii="Montserrat" w:hAnsi="Montserrat"/>
          <w:sz w:val="20"/>
          <w:szCs w:val="20"/>
        </w:rPr>
        <w:t xml:space="preserve"> (VIRTUAL)</w:t>
      </w:r>
    </w:p>
    <w:p w14:paraId="61891B5A" w14:textId="77777777" w:rsidR="00B35ACC" w:rsidRPr="004550F3" w:rsidRDefault="00516522" w:rsidP="004A2AF7">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Understanding post-rehabilitation quality of life (QoL) among people with spinal cord injury (SCI) supports better long-term care.</w:t>
      </w:r>
    </w:p>
    <w:p w14:paraId="42E758E4" w14:textId="77777777" w:rsidR="00B35ACC" w:rsidRPr="004550F3" w:rsidRDefault="00516522" w:rsidP="004A2AF7">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evaluate changes in QoL after discharge, and the impact of hospital admissions and length of stay.</w:t>
      </w:r>
    </w:p>
    <w:p w14:paraId="5187A149" w14:textId="77777777" w:rsidR="00B35ACC" w:rsidRPr="004550F3" w:rsidRDefault="00516522" w:rsidP="004A2AF7">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Data from 101 participants in the New Zealand Spinal Cord Injury Registry were analyzed using paired t-tests and regression models.</w:t>
      </w:r>
    </w:p>
    <w:p w14:paraId="56ABE68A" w14:textId="418E136C" w:rsidR="00B35ACC" w:rsidRPr="004550F3" w:rsidRDefault="00516522" w:rsidP="004A2AF7">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QoL scores declined significantly 18 months post-discharge. Hospital admissions were linked to lower QoL, though not statistically significant; length of stay showed no </w:t>
      </w:r>
      <w:r w:rsidR="00253175" w:rsidRPr="004550F3">
        <w:rPr>
          <w:rFonts w:ascii="Montserrat" w:hAnsi="Montserrat"/>
          <w:sz w:val="20"/>
          <w:szCs w:val="20"/>
        </w:rPr>
        <w:t>relationship to QoL</w:t>
      </w:r>
      <w:r w:rsidRPr="004550F3">
        <w:rPr>
          <w:rFonts w:ascii="Montserrat" w:hAnsi="Montserrat"/>
          <w:sz w:val="20"/>
          <w:szCs w:val="20"/>
        </w:rPr>
        <w:t>.</w:t>
      </w:r>
    </w:p>
    <w:p w14:paraId="643C7353" w14:textId="3D99F72A" w:rsidR="00516522" w:rsidRPr="004550F3" w:rsidRDefault="00516522" w:rsidP="004A2AF7">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SCI survivors experience notable QoL decline post-rehabilitation, underscoring the need for targeted community support and follow-up care.</w:t>
      </w:r>
    </w:p>
    <w:p w14:paraId="3FC49835"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4685CB79" w14:textId="1B1B532B" w:rsidR="00143193" w:rsidRPr="004550F3" w:rsidRDefault="004F380D" w:rsidP="0030224E">
      <w:pPr>
        <w:rPr>
          <w:rFonts w:ascii="Montserrat" w:hAnsi="Montserrat"/>
          <w:sz w:val="20"/>
          <w:szCs w:val="20"/>
        </w:rPr>
      </w:pPr>
      <w:r w:rsidRPr="004550F3">
        <w:rPr>
          <w:rFonts w:ascii="Montserrat" w:hAnsi="Montserrat"/>
          <w:b/>
          <w:bCs/>
          <w:sz w:val="20"/>
          <w:szCs w:val="20"/>
        </w:rPr>
        <w:lastRenderedPageBreak/>
        <w:t xml:space="preserve">McEntee S. </w:t>
      </w:r>
      <w:r w:rsidRPr="004550F3">
        <w:rPr>
          <w:rFonts w:ascii="Montserrat" w:hAnsi="Montserrat"/>
          <w:sz w:val="20"/>
          <w:szCs w:val="20"/>
        </w:rPr>
        <w:t>Adolescent Perception of Parental Phubbing and its Relationship to Anxiety and Depression. 3</w:t>
      </w:r>
      <w:r w:rsidRPr="004550F3">
        <w:rPr>
          <w:rFonts w:ascii="Montserrat" w:hAnsi="Montserrat"/>
          <w:sz w:val="20"/>
          <w:szCs w:val="20"/>
          <w:vertAlign w:val="superscript"/>
        </w:rPr>
        <w:t>rd</w:t>
      </w:r>
      <w:r w:rsidRPr="004550F3">
        <w:rPr>
          <w:rFonts w:ascii="Montserrat" w:hAnsi="Montserrat"/>
          <w:sz w:val="20"/>
          <w:szCs w:val="20"/>
        </w:rPr>
        <w:t xml:space="preserve"> Year PhD Student Accepted for </w:t>
      </w:r>
      <w:r w:rsidR="00991A38" w:rsidRPr="004550F3">
        <w:rPr>
          <w:rFonts w:ascii="Montserrat" w:hAnsi="Montserrat"/>
          <w:sz w:val="20"/>
          <w:szCs w:val="20"/>
        </w:rPr>
        <w:t>Candidacy</w:t>
      </w:r>
      <w:r w:rsidRPr="004550F3">
        <w:rPr>
          <w:rFonts w:ascii="Montserrat" w:hAnsi="Montserrat"/>
          <w:sz w:val="20"/>
          <w:szCs w:val="20"/>
        </w:rPr>
        <w:t xml:space="preserve">. </w:t>
      </w:r>
      <w:r w:rsidR="0030224E" w:rsidRPr="004550F3">
        <w:rPr>
          <w:rFonts w:ascii="Montserrat" w:hAnsi="Montserrat"/>
          <w:sz w:val="20"/>
          <w:szCs w:val="20"/>
        </w:rPr>
        <w:t xml:space="preserve">Therapeutic Choices Counseling Services LLC, North Platt, NE. </w:t>
      </w:r>
    </w:p>
    <w:p w14:paraId="4ADA1587" w14:textId="77777777" w:rsidR="00B35ACC" w:rsidRPr="004550F3" w:rsidRDefault="00D451F8" w:rsidP="0030224E">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“Phubbing,” or ignoring others in favor of devices, may affect parent–child relationships and youth mental health.</w:t>
      </w:r>
    </w:p>
    <w:p w14:paraId="57EC01B0" w14:textId="77777777" w:rsidR="003369F1" w:rsidRDefault="00D451F8" w:rsidP="0030224E">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explore associations between parental phubbing and adolescent anxiety and depression.</w:t>
      </w:r>
    </w:p>
    <w:p w14:paraId="7E184044" w14:textId="14099F65" w:rsidR="00B35ACC" w:rsidRPr="004550F3" w:rsidRDefault="00D451F8" w:rsidP="0030224E">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Cross-sectional surveys from 56 parents and 65 adolescents measured anxiety (GAD-7), depression (PHQ-9), and phubbing perceptions. Spearman correlations examined relationships between variables.</w:t>
      </w:r>
    </w:p>
    <w:p w14:paraId="50A86FEB" w14:textId="77777777" w:rsidR="00B35ACC" w:rsidRPr="004550F3" w:rsidRDefault="00D451F8" w:rsidP="0030224E">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Data analysis is ongoing. Anticipated findings include significant associations between parental phubbing and adolescent mental health, as well as perceptual differences between parents and children.</w:t>
      </w:r>
    </w:p>
    <w:p w14:paraId="68282E1D" w14:textId="08A22D17" w:rsidR="00D451F8" w:rsidRPr="004550F3" w:rsidRDefault="00D451F8" w:rsidP="0030224E">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This study offers an early exploration of parental phubbing from multiple perspectives, informing family-based mental health strategies.</w:t>
      </w:r>
    </w:p>
    <w:p w14:paraId="740FFDB2"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52E82374" w14:textId="041FE4A8" w:rsidR="00CA33AA" w:rsidRPr="004550F3" w:rsidRDefault="00CA33AA" w:rsidP="00CA33AA">
      <w:pPr>
        <w:rPr>
          <w:rFonts w:ascii="Montserrat" w:hAnsi="Montserrat"/>
          <w:sz w:val="20"/>
          <w:szCs w:val="20"/>
        </w:rPr>
      </w:pPr>
      <w:r w:rsidRPr="004550F3">
        <w:rPr>
          <w:rFonts w:ascii="Montserrat" w:hAnsi="Montserrat"/>
          <w:b/>
          <w:bCs/>
          <w:sz w:val="20"/>
          <w:szCs w:val="20"/>
        </w:rPr>
        <w:t xml:space="preserve">Nguyen J. </w:t>
      </w:r>
      <w:r w:rsidRPr="004550F3">
        <w:rPr>
          <w:rFonts w:ascii="Montserrat" w:hAnsi="Montserrat"/>
          <w:sz w:val="20"/>
          <w:szCs w:val="20"/>
        </w:rPr>
        <w:t>Impact of Medicaid Expansion on Adult Obesity Prevalence. 3</w:t>
      </w:r>
      <w:r w:rsidRPr="004550F3">
        <w:rPr>
          <w:rFonts w:ascii="Montserrat" w:hAnsi="Montserrat"/>
          <w:sz w:val="20"/>
          <w:szCs w:val="20"/>
          <w:vertAlign w:val="superscript"/>
        </w:rPr>
        <w:t>rd</w:t>
      </w:r>
      <w:r w:rsidRPr="004550F3">
        <w:rPr>
          <w:rFonts w:ascii="Montserrat" w:hAnsi="Montserrat"/>
          <w:sz w:val="20"/>
          <w:szCs w:val="20"/>
        </w:rPr>
        <w:t xml:space="preserve"> year PhD student Accepted for </w:t>
      </w:r>
      <w:r w:rsidR="00991A38" w:rsidRPr="004550F3">
        <w:rPr>
          <w:rFonts w:ascii="Montserrat" w:hAnsi="Montserrat"/>
          <w:sz w:val="20"/>
          <w:szCs w:val="20"/>
        </w:rPr>
        <w:t>Candidacy</w:t>
      </w:r>
      <w:r w:rsidRPr="004550F3">
        <w:rPr>
          <w:rFonts w:ascii="Montserrat" w:hAnsi="Montserrat"/>
          <w:sz w:val="20"/>
          <w:szCs w:val="20"/>
        </w:rPr>
        <w:t xml:space="preserve">. Research Associate, Bioanalytical Assays, San Diego, CA. </w:t>
      </w:r>
    </w:p>
    <w:p w14:paraId="01CAC56A" w14:textId="77777777" w:rsidR="00B35ACC" w:rsidRPr="004550F3" w:rsidRDefault="002629CC" w:rsidP="00CA33AA">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Obesity affects over 42% of U.S. adults and contributes to major chronic diseases. Medicaid expansion under the Affordable Care Act increased healthcare access, yet its effect on obesity remains unclear.</w:t>
      </w:r>
    </w:p>
    <w:p w14:paraId="66DC334F" w14:textId="77777777" w:rsidR="00B35ACC" w:rsidRPr="004550F3" w:rsidRDefault="002629CC" w:rsidP="00CA33AA">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assess whether Medicaid expansion influenced adult obesity prevalence and whether effects varied by demographic subgroup.</w:t>
      </w:r>
    </w:p>
    <w:p w14:paraId="3041F653" w14:textId="77777777" w:rsidR="00B35ACC" w:rsidRPr="004550F3" w:rsidRDefault="002629CC" w:rsidP="00CA33AA">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retrospective difference-in-differences analysis will use 2011–2023 Behavioral Risk Factor Surveillance System data to compare obesity trends between expansion and non-expansion states, adjusting for demographic and socioeconomic factors.</w:t>
      </w:r>
    </w:p>
    <w:p w14:paraId="7D8890A2" w14:textId="77777777" w:rsidR="00B35ACC" w:rsidRPr="004550F3" w:rsidRDefault="002629CC" w:rsidP="00CA33AA">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Results are pending. It is anticipated that expansion states will show slower increases or reductions in obesity prevalence, particularly among low-income and minority groups.</w:t>
      </w:r>
    </w:p>
    <w:p w14:paraId="45AA3FAA" w14:textId="51D1ED47" w:rsidR="002629CC" w:rsidRPr="004550F3" w:rsidRDefault="002629CC" w:rsidP="00CA33AA">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Findings will clarify whether expanding healthcare access contributes to improved obesity outcomes and inform future policy on chronic disease prevention.</w:t>
      </w:r>
    </w:p>
    <w:p w14:paraId="24848AB4"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221578C5" w14:textId="14F9710C" w:rsidR="00D7672F" w:rsidRPr="004550F3" w:rsidRDefault="00991A38" w:rsidP="00517881">
      <w:pPr>
        <w:rPr>
          <w:rFonts w:ascii="Montserrat" w:hAnsi="Montserrat"/>
          <w:sz w:val="20"/>
          <w:szCs w:val="20"/>
        </w:rPr>
      </w:pPr>
      <w:r w:rsidRPr="004550F3">
        <w:rPr>
          <w:rFonts w:ascii="Montserrat" w:hAnsi="Montserrat"/>
          <w:b/>
          <w:bCs/>
          <w:sz w:val="20"/>
          <w:szCs w:val="20"/>
        </w:rPr>
        <w:t>Ortega</w:t>
      </w:r>
      <w:r w:rsidR="00D7672F" w:rsidRPr="004550F3">
        <w:rPr>
          <w:rFonts w:ascii="Montserrat" w:hAnsi="Montserrat"/>
          <w:b/>
          <w:bCs/>
          <w:sz w:val="20"/>
          <w:szCs w:val="20"/>
        </w:rPr>
        <w:t xml:space="preserve">-Becton E. </w:t>
      </w:r>
      <w:r w:rsidR="00D7672F" w:rsidRPr="004550F3">
        <w:rPr>
          <w:rFonts w:ascii="Montserrat" w:hAnsi="Montserrat"/>
          <w:sz w:val="20"/>
          <w:szCs w:val="20"/>
        </w:rPr>
        <w:t>Spinal Manipulation as a Treatment for Phantom Limb Pain. 2</w:t>
      </w:r>
      <w:r w:rsidR="00D7672F" w:rsidRPr="004550F3">
        <w:rPr>
          <w:rFonts w:ascii="Montserrat" w:hAnsi="Montserrat"/>
          <w:sz w:val="20"/>
          <w:szCs w:val="20"/>
          <w:vertAlign w:val="superscript"/>
        </w:rPr>
        <w:t>nd</w:t>
      </w:r>
      <w:r w:rsidR="00D7672F" w:rsidRPr="004550F3">
        <w:rPr>
          <w:rFonts w:ascii="Montserrat" w:hAnsi="Montserrat"/>
          <w:sz w:val="20"/>
          <w:szCs w:val="20"/>
        </w:rPr>
        <w:t xml:space="preserve"> year PhD student. Chiropractor, Ft. Worth, TX.  </w:t>
      </w:r>
    </w:p>
    <w:p w14:paraId="37396C5C" w14:textId="77777777" w:rsidR="00B35ACC" w:rsidRPr="004550F3" w:rsidRDefault="00FD73E5" w:rsidP="00517881">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xml:space="preserve"> Phantom limb pain (PLP) involves painful sensations in a missing limb and is linked to maladaptive brain reorganization. Few studies have explored spinal manipulation as a potential treatment.</w:t>
      </w:r>
    </w:p>
    <w:p w14:paraId="5CC950A6" w14:textId="790993C5" w:rsidR="00B35ACC" w:rsidRPr="004550F3" w:rsidRDefault="00FD73E5" w:rsidP="00517881">
      <w:pPr>
        <w:rPr>
          <w:rFonts w:ascii="Montserrat" w:hAnsi="Montserrat"/>
          <w:sz w:val="20"/>
          <w:szCs w:val="20"/>
        </w:rPr>
      </w:pPr>
      <w:r w:rsidRPr="004550F3">
        <w:rPr>
          <w:rFonts w:ascii="Montserrat" w:hAnsi="Montserrat"/>
          <w:b/>
          <w:bCs/>
          <w:sz w:val="20"/>
          <w:szCs w:val="20"/>
        </w:rPr>
        <w:lastRenderedPageBreak/>
        <w:t>Objective:</w:t>
      </w:r>
      <w:r w:rsidRPr="004550F3">
        <w:rPr>
          <w:rFonts w:ascii="Montserrat" w:hAnsi="Montserrat"/>
          <w:sz w:val="20"/>
          <w:szCs w:val="20"/>
        </w:rPr>
        <w:t xml:space="preserve"> To assess expert consensus on the </w:t>
      </w:r>
      <w:r w:rsidR="002768B4" w:rsidRPr="004550F3">
        <w:rPr>
          <w:rFonts w:ascii="Montserrat" w:hAnsi="Montserrat"/>
          <w:sz w:val="20"/>
          <w:szCs w:val="20"/>
        </w:rPr>
        <w:t xml:space="preserve">administration and </w:t>
      </w:r>
      <w:r w:rsidRPr="004550F3">
        <w:rPr>
          <w:rFonts w:ascii="Montserrat" w:hAnsi="Montserrat"/>
          <w:sz w:val="20"/>
          <w:szCs w:val="20"/>
        </w:rPr>
        <w:t>feasibility of spinal manipulation for reducing PLP.</w:t>
      </w:r>
    </w:p>
    <w:p w14:paraId="743A45BE" w14:textId="77777777" w:rsidR="00B35ACC" w:rsidRPr="004550F3" w:rsidRDefault="00FD73E5" w:rsidP="00517881">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Delphi study using a standardized Qualtrics questionnaire with open- and close-ended questions will collect expert opinions on the efficacy and feasibility of spinal manipulation for PLP.</w:t>
      </w:r>
    </w:p>
    <w:p w14:paraId="0CA918E7" w14:textId="3DE423B2" w:rsidR="00FD73E5" w:rsidRPr="004550F3" w:rsidRDefault="00FD73E5" w:rsidP="00517881">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This study will address a gap in the literature by identifying expert perspectives on spinal manipulation as a potential noninvasive therapy for PLP.</w:t>
      </w:r>
    </w:p>
    <w:p w14:paraId="0BC9EA98"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7561932D" w14:textId="5C397C78" w:rsidR="00676FC7" w:rsidRPr="004550F3" w:rsidRDefault="00676FC7" w:rsidP="00517881">
      <w:pPr>
        <w:rPr>
          <w:rFonts w:ascii="Montserrat" w:hAnsi="Montserrat"/>
          <w:sz w:val="20"/>
          <w:szCs w:val="20"/>
        </w:rPr>
      </w:pPr>
      <w:r w:rsidRPr="004550F3">
        <w:rPr>
          <w:rFonts w:ascii="Montserrat" w:hAnsi="Montserrat"/>
          <w:b/>
          <w:bCs/>
          <w:sz w:val="20"/>
          <w:szCs w:val="20"/>
        </w:rPr>
        <w:t xml:space="preserve">Robinson A. </w:t>
      </w:r>
      <w:r w:rsidRPr="004550F3">
        <w:rPr>
          <w:rFonts w:ascii="Montserrat" w:hAnsi="Montserrat"/>
          <w:sz w:val="20"/>
          <w:szCs w:val="20"/>
        </w:rPr>
        <w:t>Does phage therapy make “cents”? A hypothetical comparison of healthcare costs associated with severe antimicrobial resistant sepsis treated with and without phage therapy in the United States.</w:t>
      </w:r>
      <w:r w:rsidR="006E06E4" w:rsidRPr="004550F3">
        <w:rPr>
          <w:rFonts w:ascii="Montserrat" w:hAnsi="Montserrat"/>
          <w:sz w:val="20"/>
          <w:szCs w:val="20"/>
        </w:rPr>
        <w:t xml:space="preserve"> </w:t>
      </w:r>
      <w:r w:rsidR="003E2425" w:rsidRPr="004550F3">
        <w:rPr>
          <w:rFonts w:ascii="Montserrat" w:hAnsi="Montserrat"/>
          <w:sz w:val="20"/>
          <w:szCs w:val="20"/>
        </w:rPr>
        <w:t>3</w:t>
      </w:r>
      <w:r w:rsidR="003E2425" w:rsidRPr="004550F3">
        <w:rPr>
          <w:rFonts w:ascii="Montserrat" w:hAnsi="Montserrat"/>
          <w:sz w:val="20"/>
          <w:szCs w:val="20"/>
          <w:vertAlign w:val="superscript"/>
        </w:rPr>
        <w:t>rd</w:t>
      </w:r>
      <w:r w:rsidR="003E2425" w:rsidRPr="004550F3">
        <w:rPr>
          <w:rFonts w:ascii="Montserrat" w:hAnsi="Montserrat"/>
          <w:sz w:val="20"/>
          <w:szCs w:val="20"/>
        </w:rPr>
        <w:t xml:space="preserve"> year PhD student. </w:t>
      </w:r>
      <w:r w:rsidR="006E06E4" w:rsidRPr="004550F3">
        <w:rPr>
          <w:rFonts w:ascii="Montserrat" w:hAnsi="Montserrat"/>
          <w:sz w:val="20"/>
          <w:szCs w:val="20"/>
        </w:rPr>
        <w:t xml:space="preserve">Clinical Trial Protocol/Proposal Analyst, Scout Clinical, Indianapolis, IN. </w:t>
      </w:r>
    </w:p>
    <w:p w14:paraId="08F19E9C" w14:textId="77777777" w:rsidR="0063319D" w:rsidRPr="004550F3" w:rsidRDefault="0063319D" w:rsidP="0063319D">
      <w:pPr>
        <w:rPr>
          <w:rFonts w:ascii="Montserrat" w:hAnsi="Montserrat"/>
          <w:sz w:val="20"/>
          <w:szCs w:val="20"/>
        </w:rPr>
      </w:pPr>
      <w:r w:rsidRPr="004550F3">
        <w:rPr>
          <w:rFonts w:ascii="Montserrat" w:hAnsi="Montserrat"/>
          <w:b/>
          <w:bCs/>
          <w:sz w:val="20"/>
          <w:szCs w:val="20"/>
        </w:rPr>
        <w:t>Background:</w:t>
      </w:r>
      <w:r w:rsidRPr="004550F3">
        <w:rPr>
          <w:rFonts w:ascii="Montserrat" w:hAnsi="Montserrat"/>
          <w:sz w:val="20"/>
          <w:szCs w:val="20"/>
        </w:rPr>
        <w:t> Antimicrobial resistance (AMR) poses a critical threat to global health, driving substantial mortality and economic costs. Despite the urgent need, development of new antimicrobials has been slow due to high costs and limited profitability. Phage therapy has reemerged as a promising adjunct to antibiotics, particularly for drug-resistant infections. </w:t>
      </w:r>
    </w:p>
    <w:p w14:paraId="385E7281" w14:textId="77777777" w:rsidR="0063319D" w:rsidRPr="004550F3" w:rsidRDefault="0063319D" w:rsidP="0063319D">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This study evaluates the potential cost-effectiveness of phage therapy in treating severe AMR sepsis in the United States.</w:t>
      </w:r>
    </w:p>
    <w:p w14:paraId="1A5BA2AC" w14:textId="77777777" w:rsidR="0063319D" w:rsidRPr="004550F3" w:rsidRDefault="0063319D" w:rsidP="0063319D">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A retrospective analysis of the 2021 National Inpatient Sample (NIS) was conducted. We applied a previously published proxy effectiveness rate for phage therapy to inpatient encounters with severe AMR sepsis. Outcomes of interest included hospitalization charges, length of stay (LOS), and inpatient mortality.</w:t>
      </w:r>
    </w:p>
    <w:p w14:paraId="487C51DD" w14:textId="77777777" w:rsidR="0063319D" w:rsidRPr="004550F3" w:rsidRDefault="0063319D" w:rsidP="0063319D">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Modeling suggested that the addition of phage therapy to standard antibiotic regimens would significantly reduce clinical and financial burdens. Compared with standard care alone, patients receiving hypothetical phage therapy demonstrated notably lower total charges, shorter LOS, and decreased mortality.</w:t>
      </w:r>
    </w:p>
    <w:p w14:paraId="645D59A9" w14:textId="77777777" w:rsidR="0063319D" w:rsidRPr="004550F3" w:rsidRDefault="0063319D" w:rsidP="0063319D">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Although based on a proxy effectiveness model rather than observed clinical trials, these findings demonstrate the potential for phage therapy to mitigate both the clinical impact and financial burden of severe AMR infections. This work highlights the urgent need for investment in clinical trials and translational research to validate and scale phage therapy as a viable strategy in the global fight against AMR.</w:t>
      </w:r>
    </w:p>
    <w:p w14:paraId="2468EABA"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12832DFC" w14:textId="77777777" w:rsidR="00214799" w:rsidRPr="00FD4DCC" w:rsidRDefault="00214799" w:rsidP="00214799">
      <w:pPr>
        <w:rPr>
          <w:rFonts w:ascii="Montserrat" w:hAnsi="Montserrat"/>
          <w:sz w:val="20"/>
          <w:szCs w:val="20"/>
        </w:rPr>
      </w:pPr>
      <w:r w:rsidRPr="00FD4DCC">
        <w:rPr>
          <w:rFonts w:ascii="Montserrat" w:hAnsi="Montserrat"/>
          <w:b/>
          <w:bCs/>
          <w:sz w:val="20"/>
          <w:szCs w:val="20"/>
        </w:rPr>
        <w:t>Sarr D</w:t>
      </w:r>
      <w:r w:rsidRPr="00FD4DCC">
        <w:rPr>
          <w:rFonts w:ascii="Montserrat" w:hAnsi="Montserrat"/>
          <w:sz w:val="20"/>
          <w:szCs w:val="20"/>
        </w:rPr>
        <w:t>. 1</w:t>
      </w:r>
      <w:r w:rsidRPr="00FD4DCC">
        <w:rPr>
          <w:rFonts w:ascii="Montserrat" w:hAnsi="Montserrat"/>
          <w:sz w:val="20"/>
          <w:szCs w:val="20"/>
          <w:vertAlign w:val="superscript"/>
        </w:rPr>
        <w:t>st</w:t>
      </w:r>
      <w:r w:rsidRPr="00FD4DCC">
        <w:rPr>
          <w:rFonts w:ascii="Montserrat" w:hAnsi="Montserrat"/>
          <w:sz w:val="20"/>
          <w:szCs w:val="20"/>
        </w:rPr>
        <w:t xml:space="preserve"> year PhD student. Director at </w:t>
      </w:r>
      <w:proofErr w:type="spellStart"/>
      <w:r w:rsidRPr="00FD4DCC">
        <w:rPr>
          <w:rFonts w:ascii="Montserrat" w:hAnsi="Montserrat"/>
          <w:sz w:val="20"/>
          <w:szCs w:val="20"/>
        </w:rPr>
        <w:t>Adverum</w:t>
      </w:r>
      <w:proofErr w:type="spellEnd"/>
      <w:r w:rsidRPr="00FD4DCC">
        <w:rPr>
          <w:rFonts w:ascii="Montserrat" w:hAnsi="Montserrat"/>
          <w:sz w:val="20"/>
          <w:szCs w:val="20"/>
        </w:rPr>
        <w:t xml:space="preserve"> Biotechnologies, Inc.</w:t>
      </w:r>
    </w:p>
    <w:p w14:paraId="4D87E155" w14:textId="77777777" w:rsidR="00214799" w:rsidRPr="004550F3" w:rsidRDefault="00214799" w:rsidP="00214799">
      <w:pPr>
        <w:rPr>
          <w:rFonts w:ascii="Montserrat" w:hAnsi="Montserrat"/>
          <w:b/>
          <w:bCs/>
          <w:sz w:val="20"/>
          <w:szCs w:val="20"/>
        </w:rPr>
      </w:pPr>
      <w:r w:rsidRPr="004550F3">
        <w:rPr>
          <w:rFonts w:ascii="Montserrat" w:hAnsi="Montserrat"/>
          <w:b/>
          <w:bCs/>
          <w:sz w:val="20"/>
          <w:szCs w:val="20"/>
        </w:rPr>
        <w:t xml:space="preserve">Background: </w:t>
      </w:r>
      <w:r w:rsidRPr="004550F3">
        <w:rPr>
          <w:rFonts w:ascii="Montserrat" w:hAnsi="Montserrat"/>
          <w:sz w:val="20"/>
          <w:szCs w:val="20"/>
        </w:rPr>
        <w:t>Despite expanded antiretroviral therapy coverage, advanced HIV disease continues to drive morbidity and mortality in sub-Saharan Africa. The WHO’s 2017 advanced HIV disease care package aimed to reduce AIDS-related deaths, but implementation has varied widely. This review evaluated its application across African countries.</w:t>
      </w:r>
    </w:p>
    <w:p w14:paraId="0B83FAD9" w14:textId="77777777" w:rsidR="005D422D" w:rsidRDefault="005D422D">
      <w:pPr>
        <w:rPr>
          <w:rFonts w:ascii="Montserrat" w:hAnsi="Montserrat"/>
          <w:b/>
          <w:bCs/>
          <w:sz w:val="20"/>
          <w:szCs w:val="20"/>
        </w:rPr>
      </w:pPr>
      <w:r>
        <w:rPr>
          <w:rFonts w:ascii="Montserrat" w:hAnsi="Montserrat"/>
          <w:b/>
          <w:bCs/>
          <w:sz w:val="20"/>
          <w:szCs w:val="20"/>
        </w:rPr>
        <w:br w:type="page"/>
      </w:r>
    </w:p>
    <w:p w14:paraId="70DC49F9" w14:textId="0D798F88" w:rsidR="00214799" w:rsidRPr="004550F3" w:rsidRDefault="00214799" w:rsidP="00214799">
      <w:pPr>
        <w:rPr>
          <w:rFonts w:ascii="Montserrat" w:hAnsi="Montserrat"/>
          <w:b/>
          <w:bCs/>
          <w:sz w:val="20"/>
          <w:szCs w:val="20"/>
        </w:rPr>
      </w:pPr>
      <w:r w:rsidRPr="004550F3">
        <w:rPr>
          <w:rFonts w:ascii="Montserrat" w:hAnsi="Montserrat"/>
          <w:b/>
          <w:bCs/>
          <w:sz w:val="20"/>
          <w:szCs w:val="20"/>
        </w:rPr>
        <w:lastRenderedPageBreak/>
        <w:t xml:space="preserve">Methods: </w:t>
      </w:r>
      <w:r w:rsidRPr="004550F3">
        <w:rPr>
          <w:rFonts w:ascii="Montserrat" w:hAnsi="Montserrat"/>
          <w:sz w:val="20"/>
          <w:szCs w:val="20"/>
        </w:rPr>
        <w:t>We systematically searched PubMed, Embase, Scopus, and Cochrane Library for studies (to March 2025) reporting implementation or diagnostic performance of the WHO package among adults with HIV in Africa. Pooled sensitivity and specificity were estimated using a bivariate random-effects model.</w:t>
      </w:r>
    </w:p>
    <w:p w14:paraId="4E0EDC54" w14:textId="77777777" w:rsidR="00214799" w:rsidRPr="004550F3" w:rsidRDefault="00214799" w:rsidP="00214799">
      <w:pPr>
        <w:rPr>
          <w:rFonts w:ascii="Montserrat" w:hAnsi="Montserrat"/>
          <w:b/>
          <w:bCs/>
          <w:sz w:val="20"/>
          <w:szCs w:val="20"/>
        </w:rPr>
      </w:pPr>
      <w:r w:rsidRPr="004550F3">
        <w:rPr>
          <w:rFonts w:ascii="Montserrat" w:hAnsi="Montserrat"/>
          <w:b/>
          <w:bCs/>
          <w:sz w:val="20"/>
          <w:szCs w:val="20"/>
        </w:rPr>
        <w:t xml:space="preserve">Results: </w:t>
      </w:r>
      <w:r w:rsidRPr="004550F3">
        <w:rPr>
          <w:rFonts w:ascii="Montserrat" w:hAnsi="Montserrat"/>
          <w:sz w:val="20"/>
          <w:szCs w:val="20"/>
        </w:rPr>
        <w:t xml:space="preserve">Among 2,257 records, 26 studies from 11 countries met inclusion criteria. CD4 testing was completed in 37.9% of patients; 20.6% of those received sputum Xpert testing and 15.0% urine LAM testing. The four-symptom screening rule showed pooled sensitivity of 91.2% (95% CI: 84.0–95.0%) and specificity of 76.5% (95% CI: 70.0–82.0%; I²=99.45%). Combining symptoms with chest radiography increased sensitivity to 95.0% but reduced specificity to 69.0%. </w:t>
      </w:r>
      <w:proofErr w:type="spellStart"/>
      <w:r w:rsidRPr="004550F3">
        <w:rPr>
          <w:rFonts w:ascii="Montserrat" w:hAnsi="Montserrat"/>
          <w:sz w:val="20"/>
          <w:szCs w:val="20"/>
        </w:rPr>
        <w:t>CrAg</w:t>
      </w:r>
      <w:proofErr w:type="spellEnd"/>
      <w:r w:rsidRPr="004550F3">
        <w:rPr>
          <w:rFonts w:ascii="Montserrat" w:hAnsi="Montserrat"/>
          <w:sz w:val="20"/>
          <w:szCs w:val="20"/>
        </w:rPr>
        <w:t xml:space="preserve"> screening and full package delivery were rarely reported.</w:t>
      </w:r>
    </w:p>
    <w:p w14:paraId="42EDAB9D" w14:textId="065499D0" w:rsidR="00214799" w:rsidRPr="004550F3" w:rsidRDefault="00214799" w:rsidP="00517881">
      <w:pPr>
        <w:rPr>
          <w:rFonts w:ascii="Montserrat" w:hAnsi="Montserrat"/>
          <w:b/>
          <w:bCs/>
          <w:sz w:val="20"/>
          <w:szCs w:val="20"/>
        </w:rPr>
      </w:pPr>
      <w:r w:rsidRPr="004550F3">
        <w:rPr>
          <w:rFonts w:ascii="Montserrat" w:hAnsi="Montserrat"/>
          <w:b/>
          <w:bCs/>
          <w:sz w:val="20"/>
          <w:szCs w:val="20"/>
        </w:rPr>
        <w:t xml:space="preserve">Conclusion: </w:t>
      </w:r>
      <w:r w:rsidRPr="004550F3">
        <w:rPr>
          <w:rFonts w:ascii="Montserrat" w:hAnsi="Montserrat"/>
          <w:sz w:val="20"/>
          <w:szCs w:val="20"/>
        </w:rPr>
        <w:t>Implementation of the WHO advanced HIV disease package remains inconsistent in sub-Saharan Africa. Limited diagnostic use hampers timely care for high-risk patients. Strengthening diagnostic access, service integration, and operational support is critical to improve outcomes.</w:t>
      </w:r>
    </w:p>
    <w:p w14:paraId="6801A0F5"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06BDCD5D" w14:textId="00098701" w:rsidR="00517881" w:rsidRPr="004550F3" w:rsidRDefault="00517881" w:rsidP="00517881">
      <w:pPr>
        <w:rPr>
          <w:rFonts w:ascii="Montserrat" w:hAnsi="Montserrat"/>
          <w:sz w:val="20"/>
          <w:szCs w:val="20"/>
        </w:rPr>
      </w:pPr>
      <w:r w:rsidRPr="004550F3">
        <w:rPr>
          <w:rFonts w:ascii="Montserrat" w:hAnsi="Montserrat"/>
          <w:b/>
          <w:bCs/>
          <w:sz w:val="20"/>
          <w:szCs w:val="20"/>
        </w:rPr>
        <w:t>Shoieb A,</w:t>
      </w:r>
      <w:r w:rsidRPr="004550F3">
        <w:rPr>
          <w:rFonts w:ascii="Montserrat" w:hAnsi="Montserrat"/>
          <w:sz w:val="20"/>
          <w:szCs w:val="20"/>
        </w:rPr>
        <w:t xml:space="preserve"> Chase A. Predic</w:t>
      </w:r>
      <w:r w:rsidRPr="004550F3">
        <w:rPr>
          <w:rFonts w:ascii="Montserrat" w:hAnsi="Montserrat" w:cs="Calibri"/>
          <w:sz w:val="20"/>
          <w:szCs w:val="20"/>
        </w:rPr>
        <w:t>t</w:t>
      </w:r>
      <w:r w:rsidRPr="004550F3">
        <w:rPr>
          <w:rFonts w:ascii="Montserrat" w:hAnsi="Montserrat"/>
          <w:sz w:val="20"/>
          <w:szCs w:val="20"/>
        </w:rPr>
        <w:t>ing Clinical Trial Pa</w:t>
      </w:r>
      <w:r w:rsidRPr="004550F3">
        <w:rPr>
          <w:rFonts w:ascii="Montserrat" w:hAnsi="Montserrat" w:cs="Calibri"/>
          <w:sz w:val="20"/>
          <w:szCs w:val="20"/>
        </w:rPr>
        <w:t>t</w:t>
      </w:r>
      <w:r w:rsidRPr="004550F3">
        <w:rPr>
          <w:rFonts w:ascii="Montserrat" w:hAnsi="Montserrat"/>
          <w:sz w:val="20"/>
          <w:szCs w:val="20"/>
        </w:rPr>
        <w:t>ient Enrollment: A Compara</w:t>
      </w:r>
      <w:r w:rsidRPr="004550F3">
        <w:rPr>
          <w:rFonts w:ascii="Montserrat" w:hAnsi="Montserrat" w:cs="Calibri"/>
          <w:sz w:val="20"/>
          <w:szCs w:val="20"/>
        </w:rPr>
        <w:t>t</w:t>
      </w:r>
      <w:r w:rsidRPr="004550F3">
        <w:rPr>
          <w:rFonts w:ascii="Montserrat" w:hAnsi="Montserrat"/>
          <w:sz w:val="20"/>
          <w:szCs w:val="20"/>
        </w:rPr>
        <w:t>ive Analysis of Neural Network models and Mul</w:t>
      </w:r>
      <w:r w:rsidRPr="004550F3">
        <w:rPr>
          <w:rFonts w:ascii="Montserrat" w:hAnsi="Montserrat" w:cs="Calibri"/>
          <w:sz w:val="20"/>
          <w:szCs w:val="20"/>
        </w:rPr>
        <w:t>t</w:t>
      </w:r>
      <w:r w:rsidRPr="004550F3">
        <w:rPr>
          <w:rFonts w:ascii="Montserrat" w:hAnsi="Montserrat"/>
          <w:sz w:val="20"/>
          <w:szCs w:val="20"/>
        </w:rPr>
        <w:t>inomial Logis</w:t>
      </w:r>
      <w:r w:rsidRPr="004550F3">
        <w:rPr>
          <w:rFonts w:ascii="Montserrat" w:hAnsi="Montserrat" w:cs="Calibri"/>
          <w:sz w:val="20"/>
          <w:szCs w:val="20"/>
        </w:rPr>
        <w:t>t</w:t>
      </w:r>
      <w:r w:rsidRPr="004550F3">
        <w:rPr>
          <w:rFonts w:ascii="Montserrat" w:hAnsi="Montserrat"/>
          <w:sz w:val="20"/>
          <w:szCs w:val="20"/>
        </w:rPr>
        <w:t>ic Regression Models. 1</w:t>
      </w:r>
      <w:r w:rsidRPr="004550F3">
        <w:rPr>
          <w:rFonts w:ascii="Montserrat" w:hAnsi="Montserrat"/>
          <w:sz w:val="20"/>
          <w:szCs w:val="20"/>
          <w:vertAlign w:val="superscript"/>
        </w:rPr>
        <w:t>st</w:t>
      </w:r>
      <w:r w:rsidRPr="004550F3">
        <w:rPr>
          <w:rFonts w:ascii="Montserrat" w:hAnsi="Montserrat"/>
          <w:sz w:val="20"/>
          <w:szCs w:val="20"/>
        </w:rPr>
        <w:t xml:space="preserve"> Year PhD students. (Sho</w:t>
      </w:r>
      <w:r w:rsidR="00991A38" w:rsidRPr="004550F3">
        <w:rPr>
          <w:rFonts w:ascii="Montserrat" w:hAnsi="Montserrat"/>
          <w:sz w:val="20"/>
          <w:szCs w:val="20"/>
        </w:rPr>
        <w:t>i</w:t>
      </w:r>
      <w:r w:rsidRPr="004550F3">
        <w:rPr>
          <w:rFonts w:ascii="Montserrat" w:hAnsi="Montserrat"/>
          <w:sz w:val="20"/>
          <w:szCs w:val="20"/>
        </w:rPr>
        <w:t xml:space="preserve">eb) </w:t>
      </w:r>
      <w:r w:rsidR="00FE1151" w:rsidRPr="004550F3">
        <w:rPr>
          <w:rFonts w:ascii="Montserrat" w:hAnsi="Montserrat"/>
          <w:sz w:val="20"/>
          <w:szCs w:val="20"/>
        </w:rPr>
        <w:t xml:space="preserve">Associate Director, Global Clinical Supply Management at Alexion, AstraZeneca Rare Disease, New London County, Connecticut, United States, </w:t>
      </w:r>
      <w:r w:rsidRPr="004550F3">
        <w:rPr>
          <w:rFonts w:ascii="Montserrat" w:hAnsi="Montserrat"/>
          <w:sz w:val="20"/>
          <w:szCs w:val="20"/>
        </w:rPr>
        <w:t>(Chase)</w:t>
      </w:r>
      <w:r w:rsidR="003E2425" w:rsidRPr="004550F3">
        <w:rPr>
          <w:rFonts w:ascii="Montserrat" w:hAnsi="Montserrat"/>
          <w:sz w:val="20"/>
          <w:szCs w:val="20"/>
        </w:rPr>
        <w:t xml:space="preserve"> </w:t>
      </w:r>
      <w:r w:rsidRPr="004550F3">
        <w:rPr>
          <w:rFonts w:ascii="Montserrat" w:hAnsi="Montserrat"/>
          <w:sz w:val="20"/>
          <w:szCs w:val="20"/>
        </w:rPr>
        <w:t xml:space="preserve">Director, Project Management Director, Project Management, ICON plc, Dublin, IR. </w:t>
      </w:r>
    </w:p>
    <w:p w14:paraId="4FCC054F" w14:textId="73B1469F" w:rsidR="00720F0A" w:rsidRPr="004550F3" w:rsidRDefault="00720F0A" w:rsidP="00720F0A">
      <w:pPr>
        <w:rPr>
          <w:rFonts w:ascii="Montserrat" w:hAnsi="Montserrat"/>
          <w:sz w:val="20"/>
          <w:szCs w:val="20"/>
        </w:rPr>
      </w:pPr>
      <w:r w:rsidRPr="004550F3">
        <w:rPr>
          <w:rFonts w:ascii="Montserrat" w:hAnsi="Montserrat"/>
          <w:b/>
          <w:bCs/>
          <w:sz w:val="20"/>
          <w:szCs w:val="20"/>
        </w:rPr>
        <w:t xml:space="preserve">Background: </w:t>
      </w:r>
      <w:r w:rsidRPr="004550F3">
        <w:rPr>
          <w:rFonts w:ascii="Montserrat" w:hAnsi="Montserrat"/>
          <w:sz w:val="20"/>
          <w:szCs w:val="20"/>
        </w:rPr>
        <w:t>Enrollment drives clinical trial duration and cost. Efficient planning of country footprint and enrollment timelines is essential. Artificial intelligence (AI) enables modeling of country- and patient-level enrollment scenarios to predict optimal timelines.</w:t>
      </w:r>
    </w:p>
    <w:p w14:paraId="54F6B223" w14:textId="0A57AEB7" w:rsidR="00720F0A" w:rsidRPr="004550F3" w:rsidRDefault="00720F0A" w:rsidP="00720F0A">
      <w:pPr>
        <w:rPr>
          <w:rFonts w:ascii="Montserrat" w:hAnsi="Montserrat"/>
          <w:b/>
          <w:bCs/>
          <w:sz w:val="20"/>
          <w:szCs w:val="20"/>
        </w:rPr>
      </w:pPr>
      <w:r w:rsidRPr="004550F3">
        <w:rPr>
          <w:rFonts w:ascii="Montserrat" w:hAnsi="Montserrat"/>
          <w:b/>
          <w:bCs/>
          <w:sz w:val="20"/>
          <w:szCs w:val="20"/>
        </w:rPr>
        <w:t xml:space="preserve">Objective: </w:t>
      </w:r>
      <w:r w:rsidRPr="004550F3">
        <w:rPr>
          <w:rFonts w:ascii="Montserrat" w:hAnsi="Montserrat"/>
          <w:sz w:val="20"/>
          <w:szCs w:val="20"/>
        </w:rPr>
        <w:t>To compare the predictive accuracy of a Multinomial Logistic Regression (MLR) model and a Neural Network model using actual clinical trial enrollment data.</w:t>
      </w:r>
    </w:p>
    <w:p w14:paraId="493A86E6" w14:textId="13D0B2E8" w:rsidR="00720F0A" w:rsidRPr="004550F3" w:rsidRDefault="00720F0A" w:rsidP="00720F0A">
      <w:pPr>
        <w:rPr>
          <w:rFonts w:ascii="Montserrat" w:hAnsi="Montserrat"/>
          <w:b/>
          <w:bCs/>
          <w:sz w:val="20"/>
          <w:szCs w:val="20"/>
        </w:rPr>
      </w:pPr>
      <w:r w:rsidRPr="004550F3">
        <w:rPr>
          <w:rFonts w:ascii="Montserrat" w:hAnsi="Montserrat"/>
          <w:b/>
          <w:bCs/>
          <w:sz w:val="20"/>
          <w:szCs w:val="20"/>
        </w:rPr>
        <w:t xml:space="preserve">Methods: </w:t>
      </w:r>
      <w:r w:rsidRPr="004550F3">
        <w:rPr>
          <w:rFonts w:ascii="Montserrat" w:hAnsi="Montserrat"/>
          <w:sz w:val="20"/>
          <w:szCs w:val="20"/>
        </w:rPr>
        <w:t>A fully connected neural network (FCN) with multiple hidden layers was trained on historical enrollment data using backpropagation and regularization. A comparative MLR model was developed in Stata (</w:t>
      </w:r>
      <w:proofErr w:type="spellStart"/>
      <w:r w:rsidRPr="004550F3">
        <w:rPr>
          <w:rFonts w:ascii="Montserrat" w:hAnsi="Montserrat"/>
          <w:sz w:val="20"/>
          <w:szCs w:val="20"/>
        </w:rPr>
        <w:t>mlogit</w:t>
      </w:r>
      <w:proofErr w:type="spellEnd"/>
      <w:r w:rsidRPr="004550F3">
        <w:rPr>
          <w:rFonts w:ascii="Montserrat" w:hAnsi="Montserrat"/>
          <w:sz w:val="20"/>
          <w:szCs w:val="20"/>
        </w:rPr>
        <w:t xml:space="preserve">) using identical covariates. Both models were tested using data from Amgen’s </w:t>
      </w:r>
      <w:proofErr w:type="spellStart"/>
      <w:r w:rsidRPr="004550F3">
        <w:rPr>
          <w:rFonts w:ascii="Montserrat" w:hAnsi="Montserrat"/>
          <w:i/>
          <w:iCs/>
          <w:sz w:val="20"/>
          <w:szCs w:val="20"/>
        </w:rPr>
        <w:t>CodeBreak</w:t>
      </w:r>
      <w:proofErr w:type="spellEnd"/>
      <w:r w:rsidRPr="004550F3">
        <w:rPr>
          <w:rFonts w:ascii="Montserrat" w:hAnsi="Montserrat"/>
          <w:i/>
          <w:iCs/>
          <w:sz w:val="20"/>
          <w:szCs w:val="20"/>
        </w:rPr>
        <w:t xml:space="preserve"> 200</w:t>
      </w:r>
      <w:r w:rsidRPr="004550F3">
        <w:rPr>
          <w:rFonts w:ascii="Montserrat" w:hAnsi="Montserrat"/>
          <w:sz w:val="20"/>
          <w:szCs w:val="20"/>
        </w:rPr>
        <w:t xml:space="preserve"> NSCLC trial (23 countries, 148 sites, 345 patients, one year).</w:t>
      </w:r>
    </w:p>
    <w:p w14:paraId="30056DEC" w14:textId="4D3BA741" w:rsidR="00720F0A" w:rsidRPr="004550F3" w:rsidRDefault="00720F0A" w:rsidP="00720F0A">
      <w:pPr>
        <w:rPr>
          <w:rFonts w:ascii="Montserrat" w:hAnsi="Montserrat"/>
          <w:b/>
          <w:bCs/>
          <w:sz w:val="20"/>
          <w:szCs w:val="20"/>
        </w:rPr>
      </w:pPr>
      <w:r w:rsidRPr="004550F3">
        <w:rPr>
          <w:rFonts w:ascii="Montserrat" w:hAnsi="Montserrat"/>
          <w:b/>
          <w:bCs/>
          <w:sz w:val="20"/>
          <w:szCs w:val="20"/>
        </w:rPr>
        <w:t>Results</w:t>
      </w:r>
      <w:r w:rsidR="00F23B54" w:rsidRPr="004550F3">
        <w:rPr>
          <w:rFonts w:ascii="Montserrat" w:hAnsi="Montserrat"/>
          <w:b/>
          <w:bCs/>
          <w:sz w:val="20"/>
          <w:szCs w:val="20"/>
        </w:rPr>
        <w:t xml:space="preserve">: </w:t>
      </w:r>
      <w:r w:rsidRPr="004550F3">
        <w:rPr>
          <w:rFonts w:ascii="Montserrat" w:hAnsi="Montserrat"/>
          <w:sz w:val="20"/>
          <w:szCs w:val="20"/>
        </w:rPr>
        <w:t>(Expected results) The FCN outperformed the MLR in predicting enrollment, showing lower mean absolute error (MAE) and greater accuracy in modeling complex trial-level relationships.</w:t>
      </w:r>
    </w:p>
    <w:p w14:paraId="0FF05514" w14:textId="11FC952B" w:rsidR="000A7717" w:rsidRPr="000A7717" w:rsidRDefault="00720F0A" w:rsidP="00720F0A">
      <w:pPr>
        <w:rPr>
          <w:rFonts w:ascii="Montserrat" w:hAnsi="Montserrat"/>
          <w:sz w:val="20"/>
          <w:szCs w:val="20"/>
        </w:rPr>
      </w:pPr>
      <w:r w:rsidRPr="004550F3">
        <w:rPr>
          <w:rFonts w:ascii="Montserrat" w:hAnsi="Montserrat"/>
          <w:b/>
          <w:bCs/>
          <w:sz w:val="20"/>
          <w:szCs w:val="20"/>
        </w:rPr>
        <w:t>Conclusion</w:t>
      </w:r>
      <w:r w:rsidR="00F23B54" w:rsidRPr="004550F3">
        <w:rPr>
          <w:rFonts w:ascii="Montserrat" w:hAnsi="Montserrat"/>
          <w:b/>
          <w:bCs/>
          <w:sz w:val="20"/>
          <w:szCs w:val="20"/>
        </w:rPr>
        <w:t xml:space="preserve">: </w:t>
      </w:r>
      <w:r w:rsidRPr="004550F3">
        <w:rPr>
          <w:rFonts w:ascii="Montserrat" w:hAnsi="Montserrat"/>
          <w:sz w:val="20"/>
          <w:szCs w:val="20"/>
        </w:rPr>
        <w:t>An AI neural network can effectively predict optimal country and patient enrollment scenarios to improve trial efficiency. Further refinement and expansion to other indications may enhance its predictive power and applicability to broader trial planning.</w:t>
      </w:r>
    </w:p>
    <w:p w14:paraId="2188CA78" w14:textId="77777777" w:rsidR="000A7717" w:rsidRDefault="000A7717" w:rsidP="000A7717">
      <w:pPr>
        <w:tabs>
          <w:tab w:val="left" w:leader="underscore" w:pos="9180"/>
        </w:tabs>
        <w:rPr>
          <w:rFonts w:ascii="Montserrat" w:hAnsi="Montserrat"/>
          <w:color w:val="DA612E"/>
          <w:sz w:val="20"/>
          <w:szCs w:val="20"/>
        </w:rPr>
      </w:pPr>
      <w:r>
        <w:rPr>
          <w:rFonts w:ascii="Montserrat" w:hAnsi="Montserrat"/>
          <w:color w:val="DA612E"/>
          <w:sz w:val="20"/>
          <w:szCs w:val="20"/>
        </w:rPr>
        <w:tab/>
      </w:r>
    </w:p>
    <w:p w14:paraId="07623AE8" w14:textId="32132BD3" w:rsidR="00E712DE" w:rsidRPr="004550F3" w:rsidRDefault="005E72BD" w:rsidP="00E712DE">
      <w:pPr>
        <w:rPr>
          <w:rFonts w:ascii="Montserrat" w:hAnsi="Montserrat"/>
          <w:sz w:val="20"/>
          <w:szCs w:val="20"/>
        </w:rPr>
      </w:pPr>
      <w:r w:rsidRPr="004550F3">
        <w:rPr>
          <w:rFonts w:ascii="Montserrat" w:hAnsi="Montserrat"/>
          <w:b/>
          <w:bCs/>
          <w:sz w:val="20"/>
          <w:szCs w:val="20"/>
        </w:rPr>
        <w:t xml:space="preserve">Velez </w:t>
      </w:r>
      <w:r w:rsidR="00E712DE" w:rsidRPr="004550F3">
        <w:rPr>
          <w:rFonts w:ascii="Montserrat" w:hAnsi="Montserrat"/>
          <w:b/>
          <w:bCs/>
          <w:sz w:val="20"/>
          <w:szCs w:val="20"/>
        </w:rPr>
        <w:t>NA</w:t>
      </w:r>
      <w:r w:rsidR="00E712DE" w:rsidRPr="004550F3">
        <w:rPr>
          <w:rFonts w:ascii="Montserrat" w:hAnsi="Montserrat"/>
          <w:sz w:val="20"/>
          <w:szCs w:val="20"/>
        </w:rPr>
        <w:t>. Spontaneous pneumothorax and hemothorax frequently precede the arterial and intestinal complications of vascular Ehlers–Danlos syndrome. </w:t>
      </w:r>
      <w:r w:rsidR="003E2425" w:rsidRPr="004550F3">
        <w:rPr>
          <w:rFonts w:ascii="Montserrat" w:hAnsi="Montserrat"/>
          <w:sz w:val="20"/>
          <w:szCs w:val="20"/>
        </w:rPr>
        <w:t>1</w:t>
      </w:r>
      <w:r w:rsidR="003E2425" w:rsidRPr="004550F3">
        <w:rPr>
          <w:rFonts w:ascii="Montserrat" w:hAnsi="Montserrat"/>
          <w:sz w:val="20"/>
          <w:szCs w:val="20"/>
          <w:vertAlign w:val="superscript"/>
        </w:rPr>
        <w:t>st</w:t>
      </w:r>
      <w:r w:rsidR="003E2425" w:rsidRPr="004550F3">
        <w:rPr>
          <w:rFonts w:ascii="Montserrat" w:hAnsi="Montserrat"/>
          <w:sz w:val="20"/>
          <w:szCs w:val="20"/>
        </w:rPr>
        <w:t xml:space="preserve"> year PhD student.</w:t>
      </w:r>
      <w:r w:rsidR="00E712DE" w:rsidRPr="004550F3">
        <w:rPr>
          <w:rFonts w:ascii="Montserrat" w:hAnsi="Montserrat"/>
          <w:sz w:val="20"/>
          <w:szCs w:val="20"/>
        </w:rPr>
        <w:t> Postdoc Research fellow in Vascular Surgery, Oregon Health and Science University, Portland, OR.  </w:t>
      </w:r>
    </w:p>
    <w:p w14:paraId="437AAD80" w14:textId="6C831080" w:rsidR="00B35ACC" w:rsidRPr="004550F3" w:rsidRDefault="00CC6409">
      <w:pPr>
        <w:rPr>
          <w:rFonts w:ascii="Montserrat" w:hAnsi="Montserrat"/>
          <w:sz w:val="20"/>
          <w:szCs w:val="20"/>
        </w:rPr>
      </w:pPr>
      <w:r w:rsidRPr="004550F3">
        <w:rPr>
          <w:rFonts w:ascii="Montserrat" w:hAnsi="Montserrat"/>
          <w:b/>
          <w:bCs/>
          <w:sz w:val="20"/>
          <w:szCs w:val="20"/>
        </w:rPr>
        <w:lastRenderedPageBreak/>
        <w:t>Background:</w:t>
      </w:r>
      <w:r w:rsidRPr="004550F3">
        <w:rPr>
          <w:rFonts w:ascii="Montserrat" w:hAnsi="Montserrat"/>
          <w:sz w:val="20"/>
          <w:szCs w:val="20"/>
        </w:rPr>
        <w:t xml:space="preserve"> </w:t>
      </w:r>
      <w:r w:rsidR="008E301E" w:rsidRPr="004550F3">
        <w:rPr>
          <w:rFonts w:ascii="Montserrat" w:hAnsi="Montserrat"/>
          <w:sz w:val="20"/>
          <w:szCs w:val="20"/>
        </w:rPr>
        <w:t>Vascular Ehlers-Danlos syndrome (</w:t>
      </w:r>
      <w:proofErr w:type="spellStart"/>
      <w:r w:rsidR="008E301E" w:rsidRPr="004550F3">
        <w:rPr>
          <w:rFonts w:ascii="Montserrat" w:hAnsi="Montserrat"/>
          <w:sz w:val="20"/>
          <w:szCs w:val="20"/>
        </w:rPr>
        <w:t>vEDS</w:t>
      </w:r>
      <w:proofErr w:type="spellEnd"/>
      <w:r w:rsidR="008E301E" w:rsidRPr="004550F3">
        <w:rPr>
          <w:rFonts w:ascii="Montserrat" w:hAnsi="Montserrat"/>
          <w:sz w:val="20"/>
          <w:szCs w:val="20"/>
        </w:rPr>
        <w:t>) is a rare connective tissue disorder linked to arterial, intestinal, and uterine ruptures. Pulmonary complications, like pneumothorax and hemothorax, are underrecognized and their timing relative to other life-threatening events is unclear.</w:t>
      </w:r>
    </w:p>
    <w:p w14:paraId="7DB7BB08" w14:textId="273BE399" w:rsidR="00B35ACC" w:rsidRPr="004550F3" w:rsidRDefault="00CC6409">
      <w:pPr>
        <w:rPr>
          <w:rFonts w:ascii="Montserrat" w:hAnsi="Montserrat"/>
          <w:sz w:val="20"/>
          <w:szCs w:val="20"/>
        </w:rPr>
      </w:pPr>
      <w:r w:rsidRPr="004550F3">
        <w:rPr>
          <w:rFonts w:ascii="Montserrat" w:hAnsi="Montserrat"/>
          <w:b/>
          <w:bCs/>
          <w:sz w:val="20"/>
          <w:szCs w:val="20"/>
        </w:rPr>
        <w:t>Objective:</w:t>
      </w:r>
      <w:r w:rsidRPr="004550F3">
        <w:rPr>
          <w:rFonts w:ascii="Montserrat" w:hAnsi="Montserrat"/>
          <w:sz w:val="20"/>
          <w:szCs w:val="20"/>
        </w:rPr>
        <w:t xml:space="preserve"> To examine the </w:t>
      </w:r>
      <w:r w:rsidR="008E301E" w:rsidRPr="004550F3">
        <w:rPr>
          <w:rFonts w:ascii="Montserrat" w:hAnsi="Montserrat"/>
          <w:sz w:val="20"/>
          <w:szCs w:val="20"/>
        </w:rPr>
        <w:t xml:space="preserve">prevalence, </w:t>
      </w:r>
      <w:r w:rsidRPr="004550F3">
        <w:rPr>
          <w:rFonts w:ascii="Montserrat" w:hAnsi="Montserrat"/>
          <w:sz w:val="20"/>
          <w:szCs w:val="20"/>
        </w:rPr>
        <w:t>timing</w:t>
      </w:r>
      <w:r w:rsidR="008E301E" w:rsidRPr="004550F3">
        <w:rPr>
          <w:rFonts w:ascii="Montserrat" w:hAnsi="Montserrat"/>
          <w:sz w:val="20"/>
          <w:szCs w:val="20"/>
        </w:rPr>
        <w:t>, and predictive capability</w:t>
      </w:r>
      <w:r w:rsidRPr="004550F3">
        <w:rPr>
          <w:rFonts w:ascii="Montserrat" w:hAnsi="Montserrat"/>
          <w:sz w:val="20"/>
          <w:szCs w:val="20"/>
        </w:rPr>
        <w:t xml:space="preserve"> of PHTX relative to arterial and intestinal complications in patients with </w:t>
      </w:r>
      <w:proofErr w:type="spellStart"/>
      <w:r w:rsidRPr="004550F3">
        <w:rPr>
          <w:rFonts w:ascii="Montserrat" w:hAnsi="Montserrat"/>
          <w:sz w:val="20"/>
          <w:szCs w:val="20"/>
        </w:rPr>
        <w:t>vEDS</w:t>
      </w:r>
      <w:proofErr w:type="spellEnd"/>
      <w:r w:rsidRPr="004550F3">
        <w:rPr>
          <w:rFonts w:ascii="Montserrat" w:hAnsi="Montserrat"/>
          <w:sz w:val="20"/>
          <w:szCs w:val="20"/>
        </w:rPr>
        <w:t>.</w:t>
      </w:r>
    </w:p>
    <w:p w14:paraId="64E770FC" w14:textId="77777777" w:rsidR="00B35ACC" w:rsidRPr="004550F3" w:rsidRDefault="00CC6409">
      <w:pPr>
        <w:rPr>
          <w:rFonts w:ascii="Montserrat" w:hAnsi="Montserrat"/>
          <w:sz w:val="20"/>
          <w:szCs w:val="20"/>
        </w:rPr>
      </w:pPr>
      <w:r w:rsidRPr="004550F3">
        <w:rPr>
          <w:rFonts w:ascii="Montserrat" w:hAnsi="Montserrat"/>
          <w:b/>
          <w:bCs/>
          <w:sz w:val="20"/>
          <w:szCs w:val="20"/>
        </w:rPr>
        <w:t>Methods:</w:t>
      </w:r>
      <w:r w:rsidRPr="004550F3">
        <w:rPr>
          <w:rFonts w:ascii="Montserrat" w:hAnsi="Montserrat"/>
          <w:sz w:val="20"/>
          <w:szCs w:val="20"/>
        </w:rPr>
        <w:t xml:space="preserve"> A retrospective analysis of 96 genetically confirmed </w:t>
      </w:r>
      <w:proofErr w:type="spellStart"/>
      <w:r w:rsidRPr="004550F3">
        <w:rPr>
          <w:rFonts w:ascii="Montserrat" w:hAnsi="Montserrat"/>
          <w:sz w:val="20"/>
          <w:szCs w:val="20"/>
        </w:rPr>
        <w:t>vEDS</w:t>
      </w:r>
      <w:proofErr w:type="spellEnd"/>
      <w:r w:rsidRPr="004550F3">
        <w:rPr>
          <w:rFonts w:ascii="Montserrat" w:hAnsi="Montserrat"/>
          <w:sz w:val="20"/>
          <w:szCs w:val="20"/>
        </w:rPr>
        <w:t xml:space="preserve"> cases assessed demographics, complications, and outcomes.</w:t>
      </w:r>
    </w:p>
    <w:p w14:paraId="02A6669C" w14:textId="77777777" w:rsidR="00B35ACC" w:rsidRPr="004550F3" w:rsidRDefault="00CC6409">
      <w:pPr>
        <w:rPr>
          <w:rFonts w:ascii="Montserrat" w:hAnsi="Montserrat"/>
          <w:sz w:val="20"/>
          <w:szCs w:val="20"/>
        </w:rPr>
      </w:pPr>
      <w:r w:rsidRPr="004550F3">
        <w:rPr>
          <w:rFonts w:ascii="Montserrat" w:hAnsi="Montserrat"/>
          <w:b/>
          <w:bCs/>
          <w:sz w:val="20"/>
          <w:szCs w:val="20"/>
        </w:rPr>
        <w:t>Results:</w:t>
      </w:r>
      <w:r w:rsidRPr="004550F3">
        <w:rPr>
          <w:rFonts w:ascii="Montserrat" w:hAnsi="Montserrat"/>
          <w:sz w:val="20"/>
          <w:szCs w:val="20"/>
        </w:rPr>
        <w:t xml:space="preserve"> PHTX occurred in 18% of patients, often preceding </w:t>
      </w:r>
      <w:proofErr w:type="spellStart"/>
      <w:r w:rsidRPr="004550F3">
        <w:rPr>
          <w:rFonts w:ascii="Montserrat" w:hAnsi="Montserrat"/>
          <w:sz w:val="20"/>
          <w:szCs w:val="20"/>
        </w:rPr>
        <w:t>vEDS</w:t>
      </w:r>
      <w:proofErr w:type="spellEnd"/>
      <w:r w:rsidRPr="004550F3">
        <w:rPr>
          <w:rFonts w:ascii="Montserrat" w:hAnsi="Montserrat"/>
          <w:sz w:val="20"/>
          <w:szCs w:val="20"/>
        </w:rPr>
        <w:t xml:space="preserve"> diagnosis and major complications by about seven years.</w:t>
      </w:r>
    </w:p>
    <w:p w14:paraId="776ECBDE" w14:textId="1F3B528C" w:rsidR="00214799" w:rsidRPr="004550F3" w:rsidRDefault="00CC6409">
      <w:pPr>
        <w:rPr>
          <w:rFonts w:ascii="Montserrat" w:hAnsi="Montserrat"/>
          <w:sz w:val="20"/>
          <w:szCs w:val="20"/>
        </w:rPr>
      </w:pPr>
      <w:r w:rsidRPr="004550F3">
        <w:rPr>
          <w:rFonts w:ascii="Montserrat" w:hAnsi="Montserrat"/>
          <w:b/>
          <w:bCs/>
          <w:sz w:val="20"/>
          <w:szCs w:val="20"/>
        </w:rPr>
        <w:t>Conclusion:</w:t>
      </w:r>
      <w:r w:rsidRPr="004550F3">
        <w:rPr>
          <w:rFonts w:ascii="Montserrat" w:hAnsi="Montserrat"/>
          <w:sz w:val="20"/>
          <w:szCs w:val="20"/>
        </w:rPr>
        <w:t xml:space="preserve"> Spontaneous PHTX may serve as an early diagnostic marker for </w:t>
      </w:r>
      <w:r w:rsidR="008E301E" w:rsidRPr="004550F3">
        <w:rPr>
          <w:rFonts w:ascii="Montserrat" w:hAnsi="Montserrat"/>
          <w:sz w:val="20"/>
          <w:szCs w:val="20"/>
        </w:rPr>
        <w:t xml:space="preserve">major complications associated with </w:t>
      </w:r>
      <w:proofErr w:type="spellStart"/>
      <w:r w:rsidRPr="004550F3">
        <w:rPr>
          <w:rFonts w:ascii="Montserrat" w:hAnsi="Montserrat"/>
          <w:sz w:val="20"/>
          <w:szCs w:val="20"/>
        </w:rPr>
        <w:t>vEDS</w:t>
      </w:r>
      <w:proofErr w:type="spellEnd"/>
      <w:r w:rsidRPr="004550F3">
        <w:rPr>
          <w:rFonts w:ascii="Montserrat" w:hAnsi="Montserrat"/>
          <w:sz w:val="20"/>
          <w:szCs w:val="20"/>
        </w:rPr>
        <w:t>, emphasizing the need for clinician awareness and early genetic testing.</w:t>
      </w:r>
    </w:p>
    <w:p w14:paraId="41DA95B5" w14:textId="77777777" w:rsidR="004550F3" w:rsidRPr="004550F3" w:rsidRDefault="004550F3">
      <w:pPr>
        <w:rPr>
          <w:rFonts w:ascii="Montserrat" w:hAnsi="Montserrat"/>
          <w:sz w:val="20"/>
          <w:szCs w:val="20"/>
        </w:rPr>
      </w:pPr>
    </w:p>
    <w:sectPr w:rsidR="004550F3" w:rsidRPr="004550F3" w:rsidSect="005D422D">
      <w:footerReference w:type="default" r:id="rId8"/>
      <w:pgSz w:w="12240" w:h="15840"/>
      <w:pgMar w:top="91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BD6B" w14:textId="77777777" w:rsidR="00CF4B8C" w:rsidRDefault="00CF4B8C" w:rsidP="004550F3">
      <w:pPr>
        <w:spacing w:after="0" w:line="240" w:lineRule="auto"/>
      </w:pPr>
      <w:r>
        <w:separator/>
      </w:r>
    </w:p>
  </w:endnote>
  <w:endnote w:type="continuationSeparator" w:id="0">
    <w:p w14:paraId="3F2A54A6" w14:textId="77777777" w:rsidR="00CF4B8C" w:rsidRDefault="00CF4B8C" w:rsidP="0045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68"/>
    </w:tblGrid>
    <w:tr w:rsidR="003369F1" w:rsidRPr="003369F1" w14:paraId="3AA2D698" w14:textId="77777777" w:rsidTr="003369F1">
      <w:trPr>
        <w:jc w:val="right"/>
      </w:trPr>
      <w:tc>
        <w:tcPr>
          <w:tcW w:w="5000" w:type="pct"/>
          <w:shd w:val="clear" w:color="auto" w:fill="E97132" w:themeFill="accent2"/>
          <w:vAlign w:val="center"/>
        </w:tcPr>
        <w:p w14:paraId="184F70B0" w14:textId="77777777" w:rsidR="003369F1" w:rsidRPr="003369F1" w:rsidRDefault="003369F1">
          <w:pPr>
            <w:pStyle w:val="Footer"/>
            <w:tabs>
              <w:tab w:val="clear" w:pos="4680"/>
              <w:tab w:val="clear" w:pos="9360"/>
            </w:tabs>
            <w:jc w:val="center"/>
            <w:rPr>
              <w:color w:val="FFFFFF" w:themeColor="background1"/>
            </w:rPr>
          </w:pPr>
          <w:r w:rsidRPr="003369F1">
            <w:rPr>
              <w:color w:val="FFFFFF" w:themeColor="background1"/>
            </w:rPr>
            <w:fldChar w:fldCharType="begin"/>
          </w:r>
          <w:r w:rsidRPr="003369F1">
            <w:rPr>
              <w:color w:val="FFFFFF" w:themeColor="background1"/>
            </w:rPr>
            <w:instrText xml:space="preserve"> PAGE   \* MERGEFORMAT </w:instrText>
          </w:r>
          <w:r w:rsidRPr="003369F1">
            <w:rPr>
              <w:color w:val="FFFFFF" w:themeColor="background1"/>
            </w:rPr>
            <w:fldChar w:fldCharType="separate"/>
          </w:r>
          <w:r w:rsidRPr="003369F1">
            <w:rPr>
              <w:noProof/>
              <w:color w:val="FFFFFF" w:themeColor="background1"/>
            </w:rPr>
            <w:t>2</w:t>
          </w:r>
          <w:r w:rsidRPr="003369F1">
            <w:rPr>
              <w:noProof/>
              <w:color w:val="FFFFFF" w:themeColor="background1"/>
            </w:rPr>
            <w:fldChar w:fldCharType="end"/>
          </w:r>
        </w:p>
      </w:tc>
    </w:tr>
  </w:tbl>
  <w:p w14:paraId="0D17F198" w14:textId="77777777" w:rsidR="004550F3" w:rsidRDefault="0045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69EF" w14:textId="77777777" w:rsidR="00CF4B8C" w:rsidRDefault="00CF4B8C" w:rsidP="004550F3">
      <w:pPr>
        <w:spacing w:after="0" w:line="240" w:lineRule="auto"/>
      </w:pPr>
      <w:r>
        <w:separator/>
      </w:r>
    </w:p>
  </w:footnote>
  <w:footnote w:type="continuationSeparator" w:id="0">
    <w:p w14:paraId="3D868DD6" w14:textId="77777777" w:rsidR="00CF4B8C" w:rsidRDefault="00CF4B8C" w:rsidP="00455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424B"/>
    <w:multiLevelType w:val="multilevel"/>
    <w:tmpl w:val="EE0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695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E1"/>
    <w:rsid w:val="00002A5A"/>
    <w:rsid w:val="0000774F"/>
    <w:rsid w:val="0000780C"/>
    <w:rsid w:val="00052A12"/>
    <w:rsid w:val="00061062"/>
    <w:rsid w:val="000652BF"/>
    <w:rsid w:val="000A7717"/>
    <w:rsid w:val="000B1AF6"/>
    <w:rsid w:val="000D65DD"/>
    <w:rsid w:val="00134650"/>
    <w:rsid w:val="0014008F"/>
    <w:rsid w:val="00143193"/>
    <w:rsid w:val="00167AFE"/>
    <w:rsid w:val="001D6B44"/>
    <w:rsid w:val="00214799"/>
    <w:rsid w:val="002216E5"/>
    <w:rsid w:val="0022235C"/>
    <w:rsid w:val="002319BB"/>
    <w:rsid w:val="00244D1E"/>
    <w:rsid w:val="00253175"/>
    <w:rsid w:val="002629CC"/>
    <w:rsid w:val="002768B4"/>
    <w:rsid w:val="0028602F"/>
    <w:rsid w:val="002A56D3"/>
    <w:rsid w:val="002A5888"/>
    <w:rsid w:val="002B1E5D"/>
    <w:rsid w:val="002F1863"/>
    <w:rsid w:val="00300872"/>
    <w:rsid w:val="0030224E"/>
    <w:rsid w:val="0030248D"/>
    <w:rsid w:val="00310BA0"/>
    <w:rsid w:val="003369F1"/>
    <w:rsid w:val="0035322F"/>
    <w:rsid w:val="00354063"/>
    <w:rsid w:val="00382E03"/>
    <w:rsid w:val="0039520B"/>
    <w:rsid w:val="003E2425"/>
    <w:rsid w:val="003F2459"/>
    <w:rsid w:val="003F5408"/>
    <w:rsid w:val="00420EEF"/>
    <w:rsid w:val="00427CFA"/>
    <w:rsid w:val="00441F66"/>
    <w:rsid w:val="004550F3"/>
    <w:rsid w:val="00473576"/>
    <w:rsid w:val="00493EC0"/>
    <w:rsid w:val="004A2AF7"/>
    <w:rsid w:val="004A76A9"/>
    <w:rsid w:val="004A78F8"/>
    <w:rsid w:val="004E2D75"/>
    <w:rsid w:val="004F380D"/>
    <w:rsid w:val="00505537"/>
    <w:rsid w:val="00516522"/>
    <w:rsid w:val="00517881"/>
    <w:rsid w:val="00543FEE"/>
    <w:rsid w:val="005867D6"/>
    <w:rsid w:val="005D22E1"/>
    <w:rsid w:val="005D422D"/>
    <w:rsid w:val="005E4594"/>
    <w:rsid w:val="005E72BD"/>
    <w:rsid w:val="005F3757"/>
    <w:rsid w:val="0063319D"/>
    <w:rsid w:val="00640E2C"/>
    <w:rsid w:val="00676FC7"/>
    <w:rsid w:val="00695863"/>
    <w:rsid w:val="006E06E4"/>
    <w:rsid w:val="006E0925"/>
    <w:rsid w:val="006F7232"/>
    <w:rsid w:val="0070402A"/>
    <w:rsid w:val="00706A5F"/>
    <w:rsid w:val="00720F0A"/>
    <w:rsid w:val="00730231"/>
    <w:rsid w:val="00735DC9"/>
    <w:rsid w:val="00787F30"/>
    <w:rsid w:val="00853436"/>
    <w:rsid w:val="008634D5"/>
    <w:rsid w:val="008801DF"/>
    <w:rsid w:val="008A7310"/>
    <w:rsid w:val="008E301E"/>
    <w:rsid w:val="0090213E"/>
    <w:rsid w:val="009330A6"/>
    <w:rsid w:val="00991A38"/>
    <w:rsid w:val="009A3F99"/>
    <w:rsid w:val="009A6D3D"/>
    <w:rsid w:val="00A15AD2"/>
    <w:rsid w:val="00A30726"/>
    <w:rsid w:val="00A92FEC"/>
    <w:rsid w:val="00AB4DF7"/>
    <w:rsid w:val="00B35ACC"/>
    <w:rsid w:val="00B41215"/>
    <w:rsid w:val="00B46FFC"/>
    <w:rsid w:val="00B54B8E"/>
    <w:rsid w:val="00B61078"/>
    <w:rsid w:val="00B97792"/>
    <w:rsid w:val="00BA58A8"/>
    <w:rsid w:val="00BA5A67"/>
    <w:rsid w:val="00BA5AE3"/>
    <w:rsid w:val="00BC71D4"/>
    <w:rsid w:val="00BD2C1B"/>
    <w:rsid w:val="00C6311E"/>
    <w:rsid w:val="00C632FD"/>
    <w:rsid w:val="00CA2B57"/>
    <w:rsid w:val="00CA33AA"/>
    <w:rsid w:val="00CC6409"/>
    <w:rsid w:val="00CF4B8C"/>
    <w:rsid w:val="00D04CD5"/>
    <w:rsid w:val="00D31E24"/>
    <w:rsid w:val="00D451F8"/>
    <w:rsid w:val="00D55671"/>
    <w:rsid w:val="00D7112B"/>
    <w:rsid w:val="00D7672F"/>
    <w:rsid w:val="00DB3A18"/>
    <w:rsid w:val="00DC4632"/>
    <w:rsid w:val="00DD6935"/>
    <w:rsid w:val="00DD6E7A"/>
    <w:rsid w:val="00DF2346"/>
    <w:rsid w:val="00E2784A"/>
    <w:rsid w:val="00E3747B"/>
    <w:rsid w:val="00E63AEB"/>
    <w:rsid w:val="00E712DE"/>
    <w:rsid w:val="00EB09FC"/>
    <w:rsid w:val="00EF0476"/>
    <w:rsid w:val="00F23B54"/>
    <w:rsid w:val="00F66FFF"/>
    <w:rsid w:val="00F977EF"/>
    <w:rsid w:val="00FA4C36"/>
    <w:rsid w:val="00FD4DCC"/>
    <w:rsid w:val="00FD73E5"/>
    <w:rsid w:val="00FE1151"/>
    <w:rsid w:val="00FF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BF97"/>
  <w15:chartTrackingRefBased/>
  <w15:docId w15:val="{0ABF0781-69F7-4762-BF4D-EEF6AB95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2E1"/>
    <w:rPr>
      <w:rFonts w:eastAsiaTheme="majorEastAsia" w:cstheme="majorBidi"/>
      <w:color w:val="272727" w:themeColor="text1" w:themeTint="D8"/>
    </w:rPr>
  </w:style>
  <w:style w:type="paragraph" w:styleId="Title">
    <w:name w:val="Title"/>
    <w:basedOn w:val="Normal"/>
    <w:next w:val="Normal"/>
    <w:link w:val="TitleChar"/>
    <w:uiPriority w:val="10"/>
    <w:qFormat/>
    <w:rsid w:val="005D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2E1"/>
    <w:pPr>
      <w:spacing w:before="160"/>
      <w:jc w:val="center"/>
    </w:pPr>
    <w:rPr>
      <w:i/>
      <w:iCs/>
      <w:color w:val="404040" w:themeColor="text1" w:themeTint="BF"/>
    </w:rPr>
  </w:style>
  <w:style w:type="character" w:customStyle="1" w:styleId="QuoteChar">
    <w:name w:val="Quote Char"/>
    <w:basedOn w:val="DefaultParagraphFont"/>
    <w:link w:val="Quote"/>
    <w:uiPriority w:val="29"/>
    <w:rsid w:val="005D22E1"/>
    <w:rPr>
      <w:i/>
      <w:iCs/>
      <w:color w:val="404040" w:themeColor="text1" w:themeTint="BF"/>
    </w:rPr>
  </w:style>
  <w:style w:type="paragraph" w:styleId="ListParagraph">
    <w:name w:val="List Paragraph"/>
    <w:basedOn w:val="Normal"/>
    <w:uiPriority w:val="34"/>
    <w:qFormat/>
    <w:rsid w:val="005D22E1"/>
    <w:pPr>
      <w:ind w:left="720"/>
      <w:contextualSpacing/>
    </w:pPr>
  </w:style>
  <w:style w:type="character" w:styleId="IntenseEmphasis">
    <w:name w:val="Intense Emphasis"/>
    <w:basedOn w:val="DefaultParagraphFont"/>
    <w:uiPriority w:val="21"/>
    <w:qFormat/>
    <w:rsid w:val="005D22E1"/>
    <w:rPr>
      <w:i/>
      <w:iCs/>
      <w:color w:val="0F4761" w:themeColor="accent1" w:themeShade="BF"/>
    </w:rPr>
  </w:style>
  <w:style w:type="paragraph" w:styleId="IntenseQuote">
    <w:name w:val="Intense Quote"/>
    <w:basedOn w:val="Normal"/>
    <w:next w:val="Normal"/>
    <w:link w:val="IntenseQuoteChar"/>
    <w:uiPriority w:val="30"/>
    <w:qFormat/>
    <w:rsid w:val="005D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2E1"/>
    <w:rPr>
      <w:i/>
      <w:iCs/>
      <w:color w:val="0F4761" w:themeColor="accent1" w:themeShade="BF"/>
    </w:rPr>
  </w:style>
  <w:style w:type="character" w:styleId="IntenseReference">
    <w:name w:val="Intense Reference"/>
    <w:basedOn w:val="DefaultParagraphFont"/>
    <w:uiPriority w:val="32"/>
    <w:qFormat/>
    <w:rsid w:val="005D22E1"/>
    <w:rPr>
      <w:b/>
      <w:bCs/>
      <w:smallCaps/>
      <w:color w:val="0F4761" w:themeColor="accent1" w:themeShade="BF"/>
      <w:spacing w:val="5"/>
    </w:rPr>
  </w:style>
  <w:style w:type="character" w:styleId="Hyperlink">
    <w:name w:val="Hyperlink"/>
    <w:basedOn w:val="DefaultParagraphFont"/>
    <w:uiPriority w:val="99"/>
    <w:unhideWhenUsed/>
    <w:rsid w:val="00DF2346"/>
    <w:rPr>
      <w:color w:val="467886" w:themeColor="hyperlink"/>
      <w:u w:val="single"/>
    </w:rPr>
  </w:style>
  <w:style w:type="character" w:styleId="UnresolvedMention">
    <w:name w:val="Unresolved Mention"/>
    <w:basedOn w:val="DefaultParagraphFont"/>
    <w:uiPriority w:val="99"/>
    <w:semiHidden/>
    <w:unhideWhenUsed/>
    <w:rsid w:val="00DF2346"/>
    <w:rPr>
      <w:color w:val="605E5C"/>
      <w:shd w:val="clear" w:color="auto" w:fill="E1DFDD"/>
    </w:rPr>
  </w:style>
  <w:style w:type="paragraph" w:styleId="Revision">
    <w:name w:val="Revision"/>
    <w:hidden/>
    <w:uiPriority w:val="99"/>
    <w:semiHidden/>
    <w:rsid w:val="003E2425"/>
    <w:pPr>
      <w:spacing w:after="0" w:line="240" w:lineRule="auto"/>
    </w:pPr>
  </w:style>
  <w:style w:type="character" w:styleId="CommentReference">
    <w:name w:val="annotation reference"/>
    <w:basedOn w:val="DefaultParagraphFont"/>
    <w:uiPriority w:val="99"/>
    <w:semiHidden/>
    <w:unhideWhenUsed/>
    <w:rsid w:val="00706A5F"/>
    <w:rPr>
      <w:sz w:val="16"/>
      <w:szCs w:val="16"/>
    </w:rPr>
  </w:style>
  <w:style w:type="paragraph" w:styleId="CommentText">
    <w:name w:val="annotation text"/>
    <w:basedOn w:val="Normal"/>
    <w:link w:val="CommentTextChar"/>
    <w:uiPriority w:val="99"/>
    <w:semiHidden/>
    <w:unhideWhenUsed/>
    <w:rsid w:val="00706A5F"/>
    <w:pPr>
      <w:spacing w:line="240" w:lineRule="auto"/>
    </w:pPr>
    <w:rPr>
      <w:sz w:val="20"/>
      <w:szCs w:val="20"/>
    </w:rPr>
  </w:style>
  <w:style w:type="character" w:customStyle="1" w:styleId="CommentTextChar">
    <w:name w:val="Comment Text Char"/>
    <w:basedOn w:val="DefaultParagraphFont"/>
    <w:link w:val="CommentText"/>
    <w:uiPriority w:val="99"/>
    <w:semiHidden/>
    <w:rsid w:val="00706A5F"/>
    <w:rPr>
      <w:sz w:val="20"/>
      <w:szCs w:val="20"/>
    </w:rPr>
  </w:style>
  <w:style w:type="paragraph" w:styleId="CommentSubject">
    <w:name w:val="annotation subject"/>
    <w:basedOn w:val="CommentText"/>
    <w:next w:val="CommentText"/>
    <w:link w:val="CommentSubjectChar"/>
    <w:uiPriority w:val="99"/>
    <w:semiHidden/>
    <w:unhideWhenUsed/>
    <w:rsid w:val="00706A5F"/>
    <w:rPr>
      <w:b/>
      <w:bCs/>
    </w:rPr>
  </w:style>
  <w:style w:type="character" w:customStyle="1" w:styleId="CommentSubjectChar">
    <w:name w:val="Comment Subject Char"/>
    <w:basedOn w:val="CommentTextChar"/>
    <w:link w:val="CommentSubject"/>
    <w:uiPriority w:val="99"/>
    <w:semiHidden/>
    <w:rsid w:val="00706A5F"/>
    <w:rPr>
      <w:b/>
      <w:bCs/>
      <w:sz w:val="20"/>
      <w:szCs w:val="20"/>
    </w:rPr>
  </w:style>
  <w:style w:type="paragraph" w:styleId="Header">
    <w:name w:val="header"/>
    <w:basedOn w:val="Normal"/>
    <w:link w:val="HeaderChar"/>
    <w:uiPriority w:val="99"/>
    <w:unhideWhenUsed/>
    <w:rsid w:val="00455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0F3"/>
  </w:style>
  <w:style w:type="paragraph" w:styleId="Footer">
    <w:name w:val="footer"/>
    <w:basedOn w:val="Normal"/>
    <w:link w:val="FooterChar"/>
    <w:uiPriority w:val="99"/>
    <w:unhideWhenUsed/>
    <w:rsid w:val="00455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4474</Words>
  <Characters>29128</Characters>
  <Application>Microsoft Office Word</Application>
  <DocSecurity>0</DocSecurity>
  <Lines>469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 Kristin</dc:creator>
  <cp:keywords/>
  <dc:description/>
  <cp:lastModifiedBy>Mckenna, Natalie</cp:lastModifiedBy>
  <cp:revision>6</cp:revision>
  <dcterms:created xsi:type="dcterms:W3CDTF">2025-11-13T20:53:00Z</dcterms:created>
  <dcterms:modified xsi:type="dcterms:W3CDTF">2025-11-14T18:33:00Z</dcterms:modified>
</cp:coreProperties>
</file>